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UNITED STATES</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SECURITIES AND EXCHANGE COMMISSION</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 10-Q</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40"/>
        <w:jc w:val="center"/>
        <w:rPr>
          <w:color w:val="000000"/>
        </w:rPr>
      </w:pPr>
      <w:r>
        <w:rPr>
          <w:color w:val="000000"/>
        </w:rPr>
        <w:t xml:space="preserve">☒ </w:t>
      </w:r>
      <w:r>
        <w:rPr>
          <w:rFonts w:ascii="Times New Roman;serif" w:hAnsi="Times New Roman;serif"/>
          <w:b w:val="false"/>
          <w:color w:val="000000"/>
          <w:sz w:val="16"/>
        </w:rPr>
        <w:t>QUARTERLY REPORT PURSUANT TO SECTION 13 OR 15(d)</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OF THE SECURITIES EXCHANGE ACT OF 1934</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For the quarterly period ended June 30, 2026</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OR</w:t>
      </w:r>
    </w:p>
    <w:p>
      <w:pPr>
        <w:pStyle w:val="TextBody"/>
        <w:bidi w:val="0"/>
        <w:spacing w:lineRule="auto" w:line="288" w:before="0" w:after="40"/>
        <w:jc w:val="center"/>
        <w:rPr>
          <w:color w:val="000000"/>
        </w:rPr>
      </w:pPr>
      <w:r>
        <w:rPr>
          <w:color w:val="000000"/>
        </w:rPr>
        <w:t xml:space="preserve">☐ </w:t>
      </w:r>
      <w:r>
        <w:rPr>
          <w:rFonts w:ascii="Times New Roman;serif" w:hAnsi="Times New Roman;serif"/>
          <w:b w:val="false"/>
          <w:color w:val="000000"/>
          <w:sz w:val="16"/>
        </w:rPr>
        <w:t>TRANSITION REPORT PURSUANT TO SECTION 13 OR 15(d)</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OF THE SECURITIES EXCHANGE ACT OF 1934</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For the transition period from ___to __</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001-42812</w:t>
      </w:r>
    </w:p>
    <w:p>
      <w:pPr>
        <w:pStyle w:val="TextBody"/>
        <w:bidi w:val="0"/>
        <w:spacing w:before="0" w:after="0"/>
        <w:jc w:val="center"/>
        <w:rPr/>
      </w:pPr>
      <w:r>
        <w:rPr/>
        <w:drawing>
          <wp:inline distT="0" distB="0" distL="0" distR="0">
            <wp:extent cx="16383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628650"/>
                    </a:xfrm>
                    <a:prstGeom prst="rect">
                      <a:avLst/>
                    </a:prstGeom>
                  </pic:spPr>
                </pic:pic>
              </a:graphicData>
            </a:graphic>
          </wp:inline>
        </w:drawing>
      </w:r>
      <w:bookmarkStart w:id="0" w:name="i-1"/>
      <w:bookmarkEnd w:id="0"/>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tLeast" w:line="200" w:before="0" w:after="0"/>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8"/>
        <w:gridCol w:w="209"/>
        <w:gridCol w:w="209"/>
        <w:gridCol w:w="813"/>
        <w:gridCol w:w="780"/>
        <w:gridCol w:w="780"/>
        <w:gridCol w:w="523"/>
        <w:gridCol w:w="523"/>
        <w:gridCol w:w="555"/>
        <w:gridCol w:w="511"/>
        <w:gridCol w:w="511"/>
        <w:gridCol w:w="480"/>
        <w:gridCol w:w="208"/>
        <w:gridCol w:w="208"/>
        <w:gridCol w:w="208"/>
        <w:gridCol w:w="1021"/>
        <w:gridCol w:w="1013"/>
        <w:gridCol w:w="1415"/>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Delaware</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33-2919563</w:t>
            </w:r>
          </w:p>
        </w:tc>
      </w:tr>
      <w:tr>
        <w:trPr/>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op w:val="single" w:sz="8" w:space="0" w:color="000000"/>
            </w:tcBorders>
            <w:tcMar>
              <w:top w:w="30" w:type="dxa"/>
              <w:left w:w="0" w:type="dxa"/>
              <w:bottom w:w="0" w:type="dxa"/>
              <w:right w:w="0" w:type="dxa"/>
            </w:tcMar>
            <w:vAlign w:val="center"/>
          </w:tcPr>
          <w:p>
            <w:pPr>
              <w:pStyle w:val="TableContents"/>
              <w:bidi w:val="0"/>
              <w:spacing w:lineRule="atLeast" w:line="151" w:before="0" w:after="0"/>
              <w:jc w:val="center"/>
              <w:rPr>
                <w:rFonts w:ascii="Arial;sans-serif" w:hAnsi="Arial;sans-serif"/>
                <w:b w:val="false"/>
                <w:color w:val="000000"/>
                <w:sz w:val="20"/>
              </w:rPr>
            </w:pPr>
            <w:r>
              <w:rPr>
                <w:rFonts w:ascii="Arial;sans-serif" w:hAnsi="Arial;sans-serif"/>
                <w:b w:val="false"/>
                <w:color w:val="000000"/>
                <w:sz w:val="20"/>
              </w:rPr>
              <w:t>(State or other jurisdiction of</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51" w:before="0" w:after="0"/>
              <w:jc w:val="center"/>
              <w:rPr>
                <w:rFonts w:ascii="Arial;sans-serif" w:hAnsi="Arial;sans-serif"/>
                <w:b w:val="false"/>
                <w:color w:val="000000"/>
                <w:sz w:val="20"/>
              </w:rPr>
            </w:pPr>
            <w:r>
              <w:rPr>
                <w:rFonts w:ascii="Arial;sans-serif" w:hAnsi="Arial;sans-serif"/>
                <w:b w:val="false"/>
                <w:color w:val="000000"/>
                <w:sz w:val="20"/>
              </w:rPr>
              <w:t>(I.R.S. Employer</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115 Tabor Rd</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Morris Plains, NJ</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07950-2546</w:t>
            </w:r>
          </w:p>
        </w:tc>
      </w:tr>
      <w:tr>
        <w:trPr/>
        <w:tc>
          <w:tcPr>
            <w:tcW w:w="4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(Address of principal executive offices)</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(Zip Code)</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(973) 370-8188</w:t>
            </w:r>
          </w:p>
        </w:tc>
        <w:tc>
          <w:tcPr>
            <w:tcW w:w="3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r>
        <w:trPr/>
        <w:tc>
          <w:tcPr>
            <w:tcW w:w="613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Title of each class</w:t>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SOLS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297" w:type="dxa"/>
        <w:jc w:val="left"/>
        <w:tblInd w:w="0" w:type="dxa"/>
        <w:tblLayout w:type="fixed"/>
        <w:tblCellMar>
          <w:top w:w="28" w:type="dxa"/>
          <w:left w:w="28" w:type="dxa"/>
          <w:bottom w:w="28" w:type="dxa"/>
          <w:right w:w="28" w:type="dxa"/>
        </w:tblCellMar>
      </w:tblPr>
      <w:tblGrid>
        <w:gridCol w:w="542"/>
        <w:gridCol w:w="478"/>
        <w:gridCol w:w="480"/>
        <w:gridCol w:w="258"/>
        <w:gridCol w:w="258"/>
        <w:gridCol w:w="260"/>
        <w:gridCol w:w="1052"/>
        <w:gridCol w:w="1052"/>
        <w:gridCol w:w="1056"/>
        <w:gridCol w:w="252"/>
        <w:gridCol w:w="252"/>
        <w:gridCol w:w="357"/>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77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60"/>
              <w:jc w:val="right"/>
              <w:rPr>
                <w:color w:val="000000"/>
              </w:rPr>
            </w:pPr>
            <w:r>
              <w:rPr>
                <w:color w:val="000000"/>
              </w:rPr>
              <w:t>☐</w:t>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Accelerated filer</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righ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Non-accelerated filer</w:t>
            </w:r>
          </w:p>
        </w:tc>
        <w:tc>
          <w:tcPr>
            <w:tcW w:w="776" w:type="dxa"/>
            <w:gridSpan w:val="3"/>
            <w:tcBorders/>
            <w:tcMar>
              <w:top w:w="0" w:type="dxa"/>
              <w:left w:w="0" w:type="dxa"/>
              <w:bottom w:w="0" w:type="dxa"/>
              <w:right w:w="0" w:type="dxa"/>
            </w:tcMar>
            <w:vAlign w:val="center"/>
          </w:tcPr>
          <w:p>
            <w:pPr>
              <w:pStyle w:val="TableContents"/>
              <w:bidi w:val="0"/>
              <w:spacing w:lineRule="auto" w:line="153" w:before="0" w:after="0"/>
              <w:ind w:left="0" w:right="0" w:firstLine="460"/>
              <w:jc w:val="right"/>
              <w:rPr>
                <w:rFonts w:ascii="Wingdings;sans-serif" w:hAnsi="Wingdings;sans-serif"/>
                <w:b w:val="false"/>
                <w:color w:val="000000"/>
                <w:sz w:val="14"/>
              </w:rPr>
            </w:pPr>
            <w:r>
              <w:rPr>
                <w:rFonts w:ascii="Wingdings;sans-serif" w:hAnsi="Wingdings;sans-serif"/>
                <w:b w:val="false"/>
                <w:color w:val="000000"/>
                <w:sz w:val="14"/>
              </w:rPr>
              <w:t>x</w:t>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righ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Emerging growth company</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right"/>
              <w:rPr>
                <w:color w:val="000000"/>
              </w:rPr>
            </w:pPr>
            <w:r>
              <w:rPr>
                <w:color w:val="00000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158,847,369 of the Registrant’s common shares outstanding at July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01" w:type="dxa"/>
        <w:jc w:val="left"/>
        <w:tblInd w:w="0" w:type="dxa"/>
        <w:tblLayout w:type="fixed"/>
        <w:tblCellMar>
          <w:top w:w="28" w:type="dxa"/>
          <w:left w:w="28" w:type="dxa"/>
          <w:bottom w:w="28" w:type="dxa"/>
          <w:right w:w="28" w:type="dxa"/>
        </w:tblCellMar>
      </w:tblPr>
      <w:tblGrid>
        <w:gridCol w:w="278"/>
        <w:gridCol w:w="241"/>
        <w:gridCol w:w="245"/>
        <w:gridCol w:w="2454"/>
        <w:gridCol w:w="2454"/>
        <w:gridCol w:w="2457"/>
        <w:gridCol w:w="109"/>
        <w:gridCol w:w="109"/>
        <w:gridCol w:w="154"/>
      </w:tblGrid>
      <w:tr>
        <w:trPr/>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Cautionary Statement Concerning Forward-Looking Statements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10">
              <w:r>
                <w:rPr>
                  <w:rStyle w:val="InternetLink"/>
                  <w:rFonts w:ascii="Times New Roman;serif" w:hAnsi="Times New Roman;serif"/>
                  <w:b w:val="false"/>
                  <w:color w:val="0000FF"/>
                  <w:sz w:val="20"/>
                  <w:u w:val="single"/>
                </w:rPr>
                <w:t>1</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16">
              <w:r>
                <w:rPr>
                  <w:rStyle w:val="InternetLink"/>
                  <w:rFonts w:ascii="Times New Roman;serif" w:hAnsi="Times New Roman;serif"/>
                  <w:b w:val="false"/>
                  <w:color w:val="0000FF"/>
                  <w:sz w:val="20"/>
                  <w:u w:val="single"/>
                </w:rPr>
                <w:t>3</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OPERATIONS (UNAUDITED)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19">
              <w:r>
                <w:rPr>
                  <w:rStyle w:val="InternetLink"/>
                  <w:rFonts w:ascii="Times New Roman;serif" w:hAnsi="Times New Roman;serif"/>
                  <w:b w:val="false"/>
                  <w:color w:val="0000FF"/>
                  <w:sz w:val="20"/>
                  <w:u w:val="single"/>
                </w:rPr>
                <w:t>3</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COMPREHENSIVE INCOME (UNAUDITED)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22">
              <w:r>
                <w:rPr>
                  <w:rStyle w:val="InternetLink"/>
                  <w:rFonts w:ascii="Times New Roman;serif" w:hAnsi="Times New Roman;serif"/>
                  <w:b w:val="false"/>
                  <w:color w:val="0000FF"/>
                  <w:sz w:val="20"/>
                  <w:u w:val="single"/>
                </w:rPr>
                <w:t>4</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25">
              <w:r>
                <w:rPr>
                  <w:rStyle w:val="InternetLink"/>
                  <w:rFonts w:ascii="Times New Roman;serif" w:hAnsi="Times New Roman;serif"/>
                  <w:b w:val="false"/>
                  <w:color w:val="0000FF"/>
                  <w:sz w:val="20"/>
                  <w:u w:val="single"/>
                </w:rPr>
                <w:t>5</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28">
              <w:r>
                <w:rPr>
                  <w:rStyle w:val="InternetLink"/>
                  <w:rFonts w:ascii="Times New Roman;serif" w:hAnsi="Times New Roman;serif"/>
                  <w:b w:val="false"/>
                  <w:color w:val="0000FF"/>
                  <w:sz w:val="20"/>
                  <w:u w:val="single"/>
                </w:rPr>
                <w:t>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EQUITY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31">
              <w:r>
                <w:rPr>
                  <w:rStyle w:val="InternetLink"/>
                  <w:rFonts w:ascii="Times New Roman;serif" w:hAnsi="Times New Roman;serif"/>
                  <w:b w:val="false"/>
                  <w:color w:val="0000FF"/>
                  <w:sz w:val="20"/>
                  <w:u w:val="single"/>
                </w:rPr>
                <w:t>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THE CONSOLIDATED FINANCIAL STATEMENTS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34">
              <w:r>
                <w:rPr>
                  <w:rStyle w:val="InternetLink"/>
                  <w:rFonts w:ascii="Times New Roman;serif" w:hAnsi="Times New Roman;serif"/>
                  <w:b w:val="false"/>
                  <w:color w:val="0000FF"/>
                  <w:sz w:val="20"/>
                  <w:u w:val="single"/>
                </w:rPr>
                <w:t>9</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 Business Overview and Basis of Presentation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37">
              <w:r>
                <w:rPr>
                  <w:rStyle w:val="InternetLink"/>
                  <w:rFonts w:ascii="Times New Roman;serif" w:hAnsi="Times New Roman;serif"/>
                  <w:b w:val="false"/>
                  <w:color w:val="0000FF"/>
                  <w:sz w:val="20"/>
                  <w:u w:val="single"/>
                </w:rPr>
                <w:t>9</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2. Summary of Significant Accounting Policies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43">
              <w:r>
                <w:rPr>
                  <w:rStyle w:val="InternetLink"/>
                  <w:rFonts w:ascii="Times New Roman;serif" w:hAnsi="Times New Roman;serif"/>
                  <w:b w:val="false"/>
                  <w:color w:val="0000FF"/>
                  <w:sz w:val="20"/>
                  <w:u w:val="single"/>
                </w:rPr>
                <w:t>10</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3. Related Party Transactions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49">
              <w:r>
                <w:rPr>
                  <w:rStyle w:val="InternetLink"/>
                  <w:rFonts w:ascii="Times New Roman;serif" w:hAnsi="Times New Roman;serif"/>
                  <w:b w:val="false"/>
                  <w:color w:val="0000FF"/>
                  <w:sz w:val="20"/>
                  <w:u w:val="single"/>
                </w:rPr>
                <w:t>11</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4. Revenue Recognition and Contracts with Customers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52">
              <w:r>
                <w:rPr>
                  <w:rStyle w:val="InternetLink"/>
                  <w:rFonts w:ascii="Times New Roman;serif" w:hAnsi="Times New Roman;serif"/>
                  <w:b w:val="false"/>
                  <w:color w:val="0000FF"/>
                  <w:sz w:val="20"/>
                  <w:u w:val="single"/>
                </w:rPr>
                <w:t>13</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5. Income Taxes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55">
              <w:r>
                <w:rPr>
                  <w:rStyle w:val="InternetLink"/>
                  <w:rFonts w:ascii="Times New Roman;serif" w:hAnsi="Times New Roman;serif"/>
                  <w:b w:val="false"/>
                  <w:color w:val="0000FF"/>
                  <w:sz w:val="20"/>
                  <w:u w:val="single"/>
                </w:rPr>
                <w:t>15</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6. Inventories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58">
              <w:r>
                <w:rPr>
                  <w:rStyle w:val="InternetLink"/>
                  <w:rFonts w:ascii="Times New Roman;serif" w:hAnsi="Times New Roman;serif"/>
                  <w:b w:val="false"/>
                  <w:color w:val="0000FF"/>
                  <w:sz w:val="20"/>
                  <w:u w:val="single"/>
                </w:rPr>
                <w:t>15</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7. Goodwill and Other Intangible Assets – Net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61">
              <w:r>
                <w:rPr>
                  <w:rStyle w:val="InternetLink"/>
                  <w:rFonts w:ascii="Times New Roman;serif" w:hAnsi="Times New Roman;serif"/>
                  <w:b w:val="false"/>
                  <w:color w:val="0000FF"/>
                  <w:sz w:val="20"/>
                  <w:u w:val="single"/>
                </w:rPr>
                <w:t>15</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8. Debt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64">
              <w:r>
                <w:rPr>
                  <w:rStyle w:val="InternetLink"/>
                  <w:rFonts w:ascii="Times New Roman;serif" w:hAnsi="Times New Roman;serif"/>
                  <w:b w:val="false"/>
                  <w:color w:val="0000FF"/>
                  <w:sz w:val="20"/>
                  <w:u w:val="single"/>
                </w:rPr>
                <w:t>16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9. Fair Value Measurements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67">
              <w:r>
                <w:rPr>
                  <w:rStyle w:val="InternetLink"/>
                  <w:rFonts w:ascii="Times New Roman;serif" w:hAnsi="Times New Roman;serif"/>
                  <w:b w:val="false"/>
                  <w:color w:val="0000FF"/>
                  <w:sz w:val="20"/>
                  <w:u w:val="single"/>
                </w:rPr>
                <w:t>17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10. Stock-Based Compensation Plans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70">
              <w:r>
                <w:rPr>
                  <w:rStyle w:val="InternetLink"/>
                  <w:rFonts w:ascii="Times New Roman;serif" w:hAnsi="Times New Roman;serif"/>
                  <w:b w:val="false"/>
                  <w:color w:val="0000FF"/>
                  <w:sz w:val="20"/>
                  <w:u w:val="single"/>
                </w:rPr>
                <w:t>17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 11. Shareowners’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76">
              <w:r>
                <w:rPr>
                  <w:rStyle w:val="InternetLink"/>
                  <w:rFonts w:ascii="Times New Roman;serif" w:hAnsi="Times New Roman;serif"/>
                  <w:b w:val="false"/>
                  <w:color w:val="0000FF"/>
                  <w:sz w:val="20"/>
                  <w:u w:val="single"/>
                </w:rPr>
                <w:t>18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 12. Earnings Per Share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82">
              <w:r>
                <w:rPr>
                  <w:rStyle w:val="InternetLink"/>
                  <w:rFonts w:ascii="Times New Roman;serif" w:hAnsi="Times New Roman;serif"/>
                  <w:b w:val="false"/>
                  <w:color w:val="0000FF"/>
                  <w:sz w:val="20"/>
                  <w:u w:val="single"/>
                </w:rPr>
                <w:t>19</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13. Investments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85">
              <w:r>
                <w:rPr>
                  <w:rStyle w:val="InternetLink"/>
                  <w:rFonts w:ascii="Times New Roman;serif" w:hAnsi="Times New Roman;serif"/>
                  <w:b w:val="false"/>
                  <w:color w:val="0000FF"/>
                  <w:sz w:val="20"/>
                  <w:u w:val="single"/>
                </w:rPr>
                <w:t>20</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14. Commitments and Contingencies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88">
              <w:r>
                <w:rPr>
                  <w:rStyle w:val="InternetLink"/>
                  <w:rFonts w:ascii="Times New Roman;serif" w:hAnsi="Times New Roman;serif"/>
                  <w:b w:val="false"/>
                  <w:color w:val="0000FF"/>
                  <w:sz w:val="20"/>
                  <w:u w:val="single"/>
                </w:rPr>
                <w:t>21</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15. Segment Financial Data</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91">
              <w:r>
                <w:rPr>
                  <w:rStyle w:val="InternetLink"/>
                  <w:rFonts w:ascii="Times New Roman;serif" w:hAnsi="Times New Roman;serif"/>
                  <w:b w:val="false"/>
                  <w:color w:val="0000FF"/>
                  <w:sz w:val="20"/>
                  <w:u w:val="single"/>
                </w:rPr>
                <w:t>23</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16. Subsequent Events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100">
              <w:r>
                <w:rPr>
                  <w:rStyle w:val="InternetLink"/>
                  <w:rFonts w:ascii="Times New Roman;serif" w:hAnsi="Times New Roman;serif"/>
                  <w:b w:val="false"/>
                  <w:color w:val="0000FF"/>
                  <w:sz w:val="20"/>
                  <w:u w:val="single"/>
                </w:rPr>
                <w:t>25</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103">
              <w:r>
                <w:rPr>
                  <w:rStyle w:val="InternetLink"/>
                  <w:rFonts w:ascii="Times New Roman;serif" w:hAnsi="Times New Roman;serif"/>
                  <w:b w:val="false"/>
                  <w:color w:val="0000FF"/>
                  <w:sz w:val="20"/>
                  <w:u w:val="single"/>
                </w:rPr>
                <w:t>27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181">
              <w:r>
                <w:rPr>
                  <w:rStyle w:val="InternetLink"/>
                  <w:rFonts w:ascii="Times New Roman;serif" w:hAnsi="Times New Roman;serif"/>
                  <w:b w:val="false"/>
                  <w:color w:val="0000FF"/>
                  <w:sz w:val="20"/>
                  <w:u w:val="single"/>
                </w:rPr>
                <w:t>44</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184">
              <w:r>
                <w:rPr>
                  <w:rStyle w:val="InternetLink"/>
                  <w:rFonts w:ascii="Times New Roman;serif" w:hAnsi="Times New Roman;serif"/>
                  <w:b w:val="false"/>
                  <w:color w:val="0000FF"/>
                  <w:sz w:val="20"/>
                  <w:u w:val="single"/>
                </w:rPr>
                <w:t>44</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193">
              <w:r>
                <w:rPr>
                  <w:rStyle w:val="InternetLink"/>
                  <w:rFonts w:ascii="Times New Roman;serif" w:hAnsi="Times New Roman;serif"/>
                  <w:b w:val="false"/>
                  <w:color w:val="0000FF"/>
                  <w:sz w:val="20"/>
                  <w:u w:val="single"/>
                </w:rPr>
                <w:t>45</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196">
              <w:r>
                <w:rPr>
                  <w:rStyle w:val="InternetLink"/>
                  <w:rFonts w:ascii="Times New Roman;serif" w:hAnsi="Times New Roman;serif"/>
                  <w:b w:val="false"/>
                  <w:color w:val="0000FF"/>
                  <w:sz w:val="20"/>
                  <w:u w:val="single"/>
                </w:rPr>
                <w:t>45</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199">
              <w:r>
                <w:rPr>
                  <w:rStyle w:val="InternetLink"/>
                  <w:rFonts w:ascii="Times New Roman;serif" w:hAnsi="Times New Roman;serif"/>
                  <w:b w:val="false"/>
                  <w:color w:val="0000FF"/>
                  <w:sz w:val="20"/>
                  <w:u w:val="single"/>
                </w:rPr>
                <w:t>50</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202">
              <w:r>
                <w:rPr>
                  <w:rStyle w:val="InternetLink"/>
                  <w:rFonts w:ascii="Times New Roman;serif" w:hAnsi="Times New Roman;serif"/>
                  <w:b w:val="false"/>
                  <w:color w:val="0000FF"/>
                  <w:sz w:val="20"/>
                  <w:u w:val="single"/>
                </w:rPr>
                <w:t>50</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205">
              <w:r>
                <w:rPr>
                  <w:rStyle w:val="InternetLink"/>
                  <w:rFonts w:ascii="Times New Roman;serif" w:hAnsi="Times New Roman;serif"/>
                  <w:b w:val="false"/>
                  <w:color w:val="0000FF"/>
                  <w:sz w:val="20"/>
                  <w:u w:val="single"/>
                </w:rPr>
                <w:t>50</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208">
              <w:r>
                <w:rPr>
                  <w:rStyle w:val="InternetLink"/>
                  <w:rFonts w:ascii="Times New Roman;serif" w:hAnsi="Times New Roman;serif"/>
                  <w:b w:val="false"/>
                  <w:color w:val="0000FF"/>
                  <w:sz w:val="20"/>
                  <w:u w:val="single"/>
                </w:rPr>
                <w:t>50</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211">
              <w:r>
                <w:rPr>
                  <w:rStyle w:val="InternetLink"/>
                  <w:rFonts w:ascii="Times New Roman;serif" w:hAnsi="Times New Roman;serif"/>
                  <w:b w:val="false"/>
                  <w:color w:val="0000FF"/>
                  <w:sz w:val="20"/>
                  <w:u w:val="single"/>
                </w:rPr>
                <w:t>51</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e05afd59c04b938bac4e0b07165d31_214">
              <w:r>
                <w:rPr>
                  <w:rStyle w:val="InternetLink"/>
                  <w:rFonts w:ascii="Times New Roman;serif" w:hAnsi="Times New Roman;serif"/>
                  <w:b w:val="false"/>
                  <w:color w:val="0000FF"/>
                  <w:sz w:val="20"/>
                  <w:u w:val="singl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federal securities laws made pursuant to the safe harbor provisions of the Private Securities Litigation Reform Act of 1995 about us and our industry that involve substantial risks and uncertainties. These statements can be identified by the fact that they do not relate strictly to historical or current facts, but rather are based on current expectations, estimates, assumptions and projections about our industry and our business and financial results. Forward-looking statements often include words such as “anticipates,” “estimates,” “expects,” “positioned,” “projects,” “forecasts,” “intends,” “plans,” “continues,” “could,” “believes,” “may,” “will,” “would,” “should,” “goals” and words and terms of similar substance in connection with discussions of future operating or financial performance. As with any projection or forecast, forward-looking statements are inherently susceptible to uncertainty and changes in circumstances. Our actual results may vary materially from those expressed or implied in our forward-looking statements. Accordingly, undue reliance should not be placed on any forward-looking statement made by us or on our behalf. Although we believe that the forward-looking statements contained in this report are based on reasonable assumptions, you should be aware that a variety of factors, many of which are difficult to predict and outside of our control, could affect our actual financial results or results of operations and could cause actual results to differ materially from those in such forward-looking statements, including, but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risks and uncertainties around the proposed Transactions (as defined herein), including the risk that the anticipated benefits and synergies of the Transactions may not be realized when expected or at all, that the terms and scope of the expected financing in connection with the Transactions may prove to be less favorable than currently expected, and that the Transactions may not be completed in a timely matter or at all, and the risk of litigation related to the Transactions;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limited operating history as an independent, publicly traded company and unreliability of historical consolidated financial information as an indicator of our future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successfully develop new technologies and introduce new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overall decline in the health of the economy and the industries in which we operate, including as a result of inflation, tariffs and other trade barriers and restrictions, market volatility, geopolitical instability and social unrest, the possibility of an economic downturn or recession or other macroeconomic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price and availability of raw materials that we use to produce our products, including due to factors such as supply chain disruptions, including due to increased energy prices, and the impact of inflation;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comply with complex government regulations and the impact of changes in such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global climate change and related regulations and changes in customer demand;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public and political perceptions of nuclear energy and radioactive materials;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economic, political, regulatory, foreign exchange and other risks of international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tariffs or other restrictions on foreign imports;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borrow funds and access capital markets and any limitations in the terms of our indebtedness;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compete successfully in the markets in which we operate;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 on our revenue and cash flow from seasonal fluctuations and cyclical market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concentrations of our credit, counterparty and market risk;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successfully execute or effectively integrate potential acquisitions, including the Transactions, or complete potential divestitures;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joint ventures and strategic co-development partnerships;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recruit and retain qualified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material environmental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hazardous nature of chemical manufacturing;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decommissioning and remediation expenses and regulatory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material litigation matters, including disputes related to the Spin-off (as defined herein);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potential cybersecurity attacks, data privacy breaches and other operational disruptions;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increasing stakeholder interest in public company performance, disclosure, and goal-setting with respect to sustainability matters;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maintain, protect and enforce our intellectual property or to be successful in litigation related to our intellectual property or the intellectual property of others, or competitors developing similar or superior intellectual property or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unforeseen U.S. federal income tax and foreign tax liabilities and our ability to achieve anticipated tax treatments in connection with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federal income tax reform;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operate as an independent, publicly traded company without certain benefits available to us as a part of Honeywell (as defined herein) prior to the Spin-off, including managing the costs of operating as an independent company following the Spin-off;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achieve some or all of the benefits that we expect to achieve from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inability to maintain intellectual property agreements;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timing, declaration, amount and payment of the Company’s dividend program;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potential cash contributions to defined benefit pension plans;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proper and effective internal controls.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and other factors are more fully discussed in Part II. Item 1A. “Risk Factors” and Part I. Item 2. “Management’s Discussion and Analysis of Financial Condition and Results of Operations” included elsewhere in this report and included in our Annual Report on Form 10-K for the year ended December 31, 2025 (the “2025 Annual Report on Form 10-K”), as may be updated from time to time in our Securities and Exchange Commission (“SEC”) filings. These risks could cause actual results to differ materially from those implied by forward-looking statements in this report. Even if our results of operations, financial condition and liquidity and the development of the industries in which we operate are consistent with the forward-looking statements contained in this report, those results or developments may not be indicative of results or developments in subsequent periods. Solstice does not undertake to update or revise any of its forward-looking statements, which speak only as of the date they are made, except as may be required by law or regulation.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(Amounts in millions, except per share amounts)</w:t>
      </w:r>
    </w:p>
    <w:tbl>
      <w:tblPr>
        <w:tblW w:w="10205" w:type="dxa"/>
        <w:jc w:val="left"/>
        <w:tblInd w:w="0" w:type="dxa"/>
        <w:tblLayout w:type="fixed"/>
        <w:tblCellMar>
          <w:top w:w="28" w:type="dxa"/>
          <w:left w:w="28" w:type="dxa"/>
          <w:bottom w:w="28" w:type="dxa"/>
          <w:right w:w="28" w:type="dxa"/>
        </w:tblCellMar>
      </w:tblPr>
      <w:tblGrid>
        <w:gridCol w:w="1832"/>
        <w:gridCol w:w="1355"/>
        <w:gridCol w:w="1373"/>
        <w:gridCol w:w="269"/>
        <w:gridCol w:w="788"/>
        <w:gridCol w:w="139"/>
        <w:gridCol w:w="139"/>
        <w:gridCol w:w="139"/>
        <w:gridCol w:w="139"/>
        <w:gridCol w:w="269"/>
        <w:gridCol w:w="673"/>
        <w:gridCol w:w="139"/>
        <w:gridCol w:w="109"/>
        <w:gridCol w:w="109"/>
        <w:gridCol w:w="109"/>
        <w:gridCol w:w="246"/>
        <w:gridCol w:w="719"/>
        <w:gridCol w:w="127"/>
        <w:gridCol w:w="127"/>
        <w:gridCol w:w="127"/>
        <w:gridCol w:w="127"/>
        <w:gridCol w:w="246"/>
        <w:gridCol w:w="719"/>
        <w:gridCol w:w="186"/>
      </w:tblGrid>
      <w:tr>
        <w:trPr/>
        <w:tc>
          <w:tcPr>
            <w:tcW w:w="183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Product sales</w:t>
            </w:r>
            <w:r>
              <w:rPr>
                <w:rFonts w:ascii="Times New Roman;serif" w:hAnsi="Times New Roman;serif"/>
                <w:b w:val="false"/>
                <w:color w:val="000000"/>
                <w:sz w:val="13"/>
              </w:rPr>
              <w:t>1</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 sales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sales</w:t>
            </w:r>
            <w:r>
              <w:rPr>
                <w:color w:val="000000"/>
              </w:rPr>
              <w:t xml:space="preserve"> </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1,148</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2,139</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1,930</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Costs, expenses and other</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products sold</w:t>
            </w:r>
            <w:r>
              <w:rPr>
                <w:rFonts w:ascii="Times New Roman;serif" w:hAnsi="Times New Roman;serif"/>
                <w:b w:val="false"/>
                <w:color w:val="000000"/>
                <w:sz w:val="13"/>
              </w:rPr>
              <w:t>2</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services sold</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 of products and services sold</w:t>
            </w:r>
            <w:r>
              <w:rPr>
                <w:color w:val="000000"/>
              </w:rPr>
              <w:t xml:space="preserve"> </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671</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1,453</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costs, expenses and other</w:t>
            </w:r>
            <w:r>
              <w:rPr>
                <w:color w:val="000000"/>
              </w:rPr>
              <w:t xml:space="preserve"> </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972</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1,827</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1,543</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before taxes</w:t>
            </w:r>
            <w:r>
              <w:rPr>
                <w:color w:val="000000"/>
              </w:rPr>
              <w:t xml:space="preserve"> </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w:t>
            </w:r>
            <w:r>
              <w:rPr>
                <w:color w:val="000000"/>
              </w:rPr>
              <w:t xml:space="preserve"> </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 attributable to Solstice Advanced Materials</w:t>
            </w:r>
            <w:r>
              <w:rPr>
                <w:color w:val="000000"/>
              </w:rPr>
              <w:t xml:space="preserve">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0.75</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0.61</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0.75</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1.Product sales include related party product sales of $29 million and $25 million for the three months, and $45 million and $38 million for the six months ended June 30, 2026 and 2025, respectively.</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2.Cost of products sold include related party cost of products sold of $5 million and $2 million for the three months, and $10 million and $8 million for the six months ended June 30, 2026 and 2025, respectively.</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1681"/>
        <w:gridCol w:w="1458"/>
        <w:gridCol w:w="1470"/>
        <w:gridCol w:w="293"/>
        <w:gridCol w:w="671"/>
        <w:gridCol w:w="151"/>
        <w:gridCol w:w="151"/>
        <w:gridCol w:w="151"/>
        <w:gridCol w:w="151"/>
        <w:gridCol w:w="293"/>
        <w:gridCol w:w="671"/>
        <w:gridCol w:w="151"/>
        <w:gridCol w:w="109"/>
        <w:gridCol w:w="109"/>
        <w:gridCol w:w="109"/>
        <w:gridCol w:w="275"/>
        <w:gridCol w:w="629"/>
        <w:gridCol w:w="142"/>
        <w:gridCol w:w="142"/>
        <w:gridCol w:w="142"/>
        <w:gridCol w:w="142"/>
        <w:gridCol w:w="275"/>
        <w:gridCol w:w="629"/>
        <w:gridCol w:w="210"/>
      </w:tblGrid>
      <w:tr>
        <w:trPr/>
        <w:tc>
          <w:tcPr>
            <w:tcW w:w="168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Foreign exchange translation adjustment</w:t>
            </w:r>
            <w:r>
              <w:rPr>
                <w:color w:val="000000"/>
              </w:rPr>
              <w:t xml:space="preserve"> </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Pension and other postretirement benefit adjustments</w:t>
            </w:r>
            <w:r>
              <w:rPr>
                <w:color w:val="000000"/>
              </w:rPr>
              <w:t xml:space="preserve"> </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flow hedges recognized in other comprehensive income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gains included in net income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Changes in fair value of cash flow hedges</w:t>
            </w:r>
            <w:r>
              <w:rPr>
                <w:color w:val="000000"/>
              </w:rPr>
              <w:t xml:space="preserve"> </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other comprehensive (loss) income, net of tax</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Comprehensive income</w:t>
            </w:r>
            <w:r>
              <w:rPr>
                <w:color w:val="000000"/>
              </w:rPr>
              <w:t xml:space="preserve"> </w:t>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w:t>
            </w:r>
            <w:r>
              <w:rPr>
                <w:color w:val="000000"/>
              </w:rPr>
              <w:t> </w:t>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(Dollars in millions, except per share amounts)</w:t>
      </w:r>
    </w:p>
    <w:tbl>
      <w:tblPr>
        <w:tblW w:w="10205" w:type="dxa"/>
        <w:jc w:val="left"/>
        <w:tblInd w:w="0" w:type="dxa"/>
        <w:tblLayout w:type="fixed"/>
        <w:tblCellMar>
          <w:top w:w="28" w:type="dxa"/>
          <w:left w:w="28" w:type="dxa"/>
          <w:bottom w:w="28" w:type="dxa"/>
          <w:right w:w="28" w:type="dxa"/>
        </w:tblCellMar>
      </w:tblPr>
      <w:tblGrid>
        <w:gridCol w:w="2981"/>
        <w:gridCol w:w="2331"/>
        <w:gridCol w:w="2337"/>
        <w:gridCol w:w="223"/>
        <w:gridCol w:w="650"/>
        <w:gridCol w:w="124"/>
        <w:gridCol w:w="109"/>
        <w:gridCol w:w="109"/>
        <w:gridCol w:w="109"/>
        <w:gridCol w:w="261"/>
        <w:gridCol w:w="762"/>
        <w:gridCol w:w="209"/>
      </w:tblGrid>
      <w:tr>
        <w:trPr/>
        <w:tc>
          <w:tcPr>
            <w:tcW w:w="298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ASSETS</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Accounts receivable, less allowances of $5 and $10, respectively</w:t>
            </w:r>
            <w:r>
              <w:rPr>
                <w:rFonts w:ascii="Times New Roman;serif" w:hAnsi="Times New Roman;serif"/>
                <w:b w:val="false"/>
                <w:color w:val="000000"/>
                <w:sz w:val="10"/>
              </w:rPr>
              <w:t>1</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Product loans receivable, current</w:t>
            </w:r>
            <w:r>
              <w:rPr>
                <w:rFonts w:ascii="Times New Roman;serif" w:hAnsi="Times New Roman;serif"/>
                <w:b w:val="false"/>
                <w:color w:val="000000"/>
                <w:sz w:val="10"/>
              </w:rPr>
              <w:t>2</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current assets</w:t>
            </w:r>
            <w:r>
              <w:rPr>
                <w:color w:val="000000"/>
              </w:rPr>
              <w:t xml:space="preserve"> </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2,568</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2,388</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 net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Intangible assets – net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assets</w:t>
            </w:r>
            <w:r>
              <w:rPr>
                <w:color w:val="000000"/>
              </w:rPr>
              <w:t xml:space="preserve">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5,918</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5,673</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LIABILITIES</w:t>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Accounts payable</w:t>
            </w:r>
            <w:r>
              <w:rPr>
                <w:rFonts w:ascii="Times New Roman;serif" w:hAnsi="Times New Roman;serif"/>
                <w:b w:val="false"/>
                <w:color w:val="000000"/>
                <w:sz w:val="10"/>
              </w:rPr>
              <w:t>3</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loans payable, current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 current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Accrued and other liabilities, current</w:t>
            </w:r>
            <w:r>
              <w:rPr>
                <w:rFonts w:ascii="Times New Roman;serif" w:hAnsi="Times New Roman;serif"/>
                <w:b w:val="false"/>
                <w:color w:val="000000"/>
                <w:sz w:val="10"/>
              </w:rPr>
              <w:t>4</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current liabilities</w:t>
            </w:r>
            <w:r>
              <w:rPr>
                <w:color w:val="000000"/>
              </w:rPr>
              <w:t xml:space="preserve"> </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1,760</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1,713</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Product loans payable, noncurrent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 noncurrent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liabilities</w:t>
            </w:r>
            <w:r>
              <w:rPr>
                <w:color w:val="000000"/>
              </w:rPr>
              <w:t xml:space="preserve"> </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4,330</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4,296</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EQUITY</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(par value $0.01 per share; 500,000,000 shares authorized; 158,842,224 shares issued and outstanding at June 30, 2026; 158,747,196 shares issued and outstanding at December 31, 2025)</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Solstice Advanced Materials shareowners’ equity</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equity</w:t>
            </w:r>
            <w:r>
              <w:rPr>
                <w:color w:val="000000"/>
              </w:rPr>
              <w:t xml:space="preserve"> </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1,588</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1,377</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liabilities and equity</w:t>
            </w:r>
            <w:r>
              <w:rPr>
                <w:color w:val="000000"/>
              </w:rPr>
              <w:t xml:space="preserve"> </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5,918</w:t>
            </w:r>
            <w:r>
              <w:rPr>
                <w:color w:val="000000"/>
              </w:rPr>
              <w:t> </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5,673</w:t>
            </w:r>
            <w:r>
              <w:rPr>
                <w:color w:val="000000"/>
              </w:rPr>
              <w:t> </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1.Accounts receivable include related party receivables of $36 million and $45 million as of June 30, 2026 and December 31, 2025,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2.Product loans receivable, current include related party loans receivables of $186 million and $178 million as of June 30, 2026 and December 31, 2025, respectively.</w:t>
      </w:r>
    </w:p>
    <w:p>
      <w:pPr>
        <w:pStyle w:val="TextBody"/>
        <w:bidi w:val="0"/>
        <w:spacing w:lineRule="auto" w:line="288" w:before="0" w:after="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3.Accounts payable include related party accounts payables of $7 million and $2 million as of June 30, 2026 and December 31, 2025, respectively.</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4.Accrued and other liabilities, current include related party payables of $73 million and $69 million as of June 30, 2026 and December 31, 2025, respectively.</w:t>
      </w:r>
    </w:p>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8487" w:type="dxa"/>
        <w:jc w:val="left"/>
        <w:tblInd w:w="0" w:type="dxa"/>
        <w:tblLayout w:type="fixed"/>
        <w:tblCellMar>
          <w:top w:w="28" w:type="dxa"/>
          <w:left w:w="28" w:type="dxa"/>
          <w:bottom w:w="28" w:type="dxa"/>
          <w:right w:w="28" w:type="dxa"/>
        </w:tblCellMar>
      </w:tblPr>
      <w:tblGrid>
        <w:gridCol w:w="2081"/>
        <w:gridCol w:w="1825"/>
        <w:gridCol w:w="1839"/>
        <w:gridCol w:w="293"/>
        <w:gridCol w:w="669"/>
        <w:gridCol w:w="151"/>
        <w:gridCol w:w="151"/>
        <w:gridCol w:w="151"/>
        <w:gridCol w:w="151"/>
        <w:gridCol w:w="293"/>
        <w:gridCol w:w="669"/>
        <w:gridCol w:w="214"/>
      </w:tblGrid>
      <w:tr>
        <w:trPr/>
        <w:tc>
          <w:tcPr>
            <w:tcW w:w="208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income</w:t>
            </w:r>
            <w:r>
              <w:rPr>
                <w:color w:val="000000"/>
              </w:rPr>
              <w:t xml:space="preserve">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income of affiliated companies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fixed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Accounts receivable</w:t>
            </w:r>
            <w:r>
              <w:rPr>
                <w:rFonts w:ascii="Times New Roman;serif" w:hAnsi="Times New Roman;serif"/>
                <w:b w:val="false"/>
                <w:color w:val="000000"/>
                <w:sz w:val="12"/>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1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Accounts payable</w:t>
            </w:r>
            <w:r>
              <w:rPr>
                <w:rFonts w:ascii="Times New Roman;serif" w:hAnsi="Times New Roman;serif"/>
                <w:b w:val="false"/>
                <w:color w:val="000000"/>
                <w:sz w:val="12"/>
              </w:rPr>
              <w:t>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Accrued and other liabilities, current</w:t>
            </w:r>
            <w:r>
              <w:rPr>
                <w:rFonts w:ascii="Times New Roman;serif" w:hAnsi="Times New Roman;serif"/>
                <w:b w:val="false"/>
                <w:color w:val="000000"/>
                <w:sz w:val="12"/>
              </w:rPr>
              <w:t>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and customer advances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liabilities, noncurrent</w:t>
            </w:r>
            <w:r>
              <w:rPr>
                <w:rFonts w:ascii="Times New Roman;serif" w:hAnsi="Times New Roman;serif"/>
                <w:b w:val="false"/>
                <w:color w:val="000000"/>
                <w:sz w:val="12"/>
              </w:rPr>
              <w:t>4</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cash provided by operating activities</w:t>
            </w:r>
            <w:r>
              <w:rPr>
                <w:color w:val="000000"/>
              </w:rPr>
              <w:t xml:space="preserve"> </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w:t>
            </w: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Capital expenditures paid</w:t>
            </w:r>
            <w:r>
              <w:rPr>
                <w:rFonts w:ascii="Times New Roman;serif" w:hAnsi="Times New Roman;serif"/>
                <w:b w:val="false"/>
                <w:color w:val="000000"/>
                <w:sz w:val="12"/>
              </w:rPr>
              <w:t>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long-life catalysts and deferred maintenance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disposals of property, plant, and 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Capitalized software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cash used for investing activities</w:t>
            </w:r>
            <w:r>
              <w:rPr>
                <w:color w:val="000000"/>
              </w:rPr>
              <w:t xml:space="preserve"> </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(215)</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payments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to Parent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cash used for financing activities</w:t>
            </w:r>
            <w:r>
              <w:rPr>
                <w:color w:val="000000"/>
              </w:rPr>
              <w:t xml:space="preserve"> </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increase in cash and cash equivalents</w:t>
            </w:r>
            <w:r>
              <w:rPr>
                <w:color w:val="000000"/>
              </w:rPr>
              <w:t xml:space="preserve"> </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Cash and cash equivalents at end of period</w:t>
            </w:r>
            <w:r>
              <w:rPr>
                <w:color w:val="000000"/>
              </w:rPr>
              <w:t xml:space="preserve"> </w:t>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w:t>
            </w:r>
            <w:r>
              <w:rPr>
                <w:color w:val="000000"/>
              </w:rPr>
              <w:t>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w:t>
            </w:r>
            <w:r>
              <w:rPr>
                <w:color w:val="000000"/>
              </w:rPr>
              <w:t> </w:t>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6"/>
        </w:rPr>
        <w:t>1.Includes decrease in short term related party receivables of</w:t>
      </w:r>
      <w:r>
        <w:rPr>
          <w:color w:val="EE2724"/>
        </w:rPr>
        <w:t xml:space="preserve"> </w:t>
      </w:r>
      <w:r>
        <w:rPr>
          <w:rFonts w:ascii="Times New Roman;serif" w:hAnsi="Times New Roman;serif"/>
          <w:b w:val="false"/>
          <w:color w:val="000000"/>
          <w:sz w:val="16"/>
        </w:rPr>
        <w:t>$9 million and $6 million for the six months ended June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2.Includes increase in related party accounts payables of</w:t>
      </w:r>
      <w:r>
        <w:rPr>
          <w:color w:val="EE2724"/>
        </w:rPr>
        <w:t xml:space="preserve"> </w:t>
      </w:r>
      <w:r>
        <w:rPr>
          <w:rFonts w:ascii="Times New Roman;serif" w:hAnsi="Times New Roman;serif"/>
          <w:b w:val="false"/>
          <w:color w:val="000000"/>
          <w:sz w:val="16"/>
        </w:rPr>
        <w:t>$5 million and $1 million for the six months ended June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shd w:fill="FFFFFF" w:val="clear"/>
        </w:rPr>
        <w:t>3.</w:t>
      </w:r>
      <w:r>
        <w:rPr>
          <w:rFonts w:ascii="Times New Roman;serif" w:hAnsi="Times New Roman;serif"/>
          <w:b w:val="false"/>
          <w:color w:val="000000"/>
          <w:sz w:val="16"/>
        </w:rPr>
        <w:t xml:space="preserve">Includes increase in related party accrued liabilities of $4 million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$4 million</w:t>
      </w:r>
      <w:r>
        <w:rPr>
          <w:color w:val="000000"/>
          <w:shd w:fill="FFFFFF" w:val="clear"/>
        </w:rPr>
        <w:t xml:space="preserve"> </w:t>
      </w:r>
      <w:r>
        <w:rPr>
          <w:rFonts w:ascii="Times New Roman;serif" w:hAnsi="Times New Roman;serif"/>
          <w:b w:val="false"/>
          <w:color w:val="000000"/>
          <w:sz w:val="16"/>
          <w:shd w:fill="FFFFFF" w:val="clear"/>
        </w:rPr>
        <w:t xml:space="preserve">for the </w:t>
      </w:r>
      <w:r>
        <w:rPr>
          <w:rFonts w:ascii="Times New Roman;serif" w:hAnsi="Times New Roman;serif"/>
          <w:b w:val="false"/>
          <w:color w:val="000000"/>
          <w:sz w:val="16"/>
        </w:rPr>
        <w:t>six</w:t>
      </w:r>
      <w:r>
        <w:rPr>
          <w:color w:val="000000"/>
          <w:shd w:fill="FFFFFF" w:val="clear"/>
        </w:rPr>
        <w:t xml:space="preserve"> </w:t>
      </w:r>
      <w:r>
        <w:rPr>
          <w:rFonts w:ascii="Times New Roman;serif" w:hAnsi="Times New Roman;serif"/>
          <w:b w:val="false"/>
          <w:color w:val="000000"/>
          <w:sz w:val="16"/>
          <w:shd w:fill="FFFFFF" w:val="clear"/>
        </w:rPr>
        <w:t xml:space="preserve">months ended </w:t>
      </w:r>
      <w:r>
        <w:rPr>
          <w:rFonts w:ascii="Times New Roman;serif" w:hAnsi="Times New Roman;serif"/>
          <w:b w:val="false"/>
          <w:color w:val="000000"/>
          <w:sz w:val="16"/>
        </w:rPr>
        <w:t>June 30, 2026</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2025,</w:t>
      </w:r>
      <w:r>
        <w:rPr>
          <w:color w:val="000000"/>
          <w:shd w:fill="FFFFFF" w:val="clear"/>
        </w:rPr>
        <w:t xml:space="preserve"> </w:t>
      </w:r>
      <w:r>
        <w:rPr>
          <w:rFonts w:ascii="Times New Roman;serif" w:hAnsi="Times New Roman;serif"/>
          <w:b w:val="false"/>
          <w:color w:val="000000"/>
          <w:sz w:val="16"/>
          <w:shd w:fill="FFFFFF" w:val="clear"/>
        </w:rPr>
        <w:t>respectively.</w:t>
      </w:r>
    </w:p>
    <w:p>
      <w:pPr>
        <w:pStyle w:val="TextBody"/>
        <w:bidi w:val="0"/>
        <w:spacing w:lineRule="auto" w:line="288" w:before="0" w:after="0"/>
        <w:ind w:left="0" w:right="0" w:hanging="360"/>
        <w:jc w:val="both"/>
        <w:rPr/>
      </w:pPr>
      <w:r>
        <w:rPr>
          <w:rFonts w:ascii="Times New Roman;serif" w:hAnsi="Times New Roman;serif"/>
          <w:b w:val="false"/>
          <w:color w:val="000000"/>
          <w:sz w:val="16"/>
          <w:shd w:fill="FFFFFF" w:val="clear"/>
        </w:rPr>
        <w:t xml:space="preserve">4.Includes decrease in related party long-term receivable of </w:t>
      </w:r>
      <w:r>
        <w:rPr>
          <w:rFonts w:ascii="Times New Roman;serif" w:hAnsi="Times New Roman;serif"/>
          <w:b w:val="false"/>
          <w:color w:val="000000"/>
          <w:sz w:val="16"/>
        </w:rPr>
        <w:t>$0 million</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 xml:space="preserve">$7 million for </w:t>
      </w:r>
      <w:r>
        <w:rPr>
          <w:rFonts w:ascii="Times New Roman;serif" w:hAnsi="Times New Roman;serif"/>
          <w:b w:val="false"/>
          <w:color w:val="000000"/>
          <w:sz w:val="16"/>
          <w:shd w:fill="FFFFFF" w:val="clear"/>
        </w:rPr>
        <w:t xml:space="preserve">the </w:t>
      </w:r>
      <w:r>
        <w:rPr>
          <w:rFonts w:ascii="Times New Roman;serif" w:hAnsi="Times New Roman;serif"/>
          <w:b w:val="false"/>
          <w:color w:val="000000"/>
          <w:sz w:val="16"/>
        </w:rPr>
        <w:t>six</w:t>
      </w:r>
      <w:r>
        <w:rPr>
          <w:color w:val="000000"/>
          <w:shd w:fill="FFFFFF" w:val="clear"/>
        </w:rPr>
        <w:t xml:space="preserve"> </w:t>
      </w:r>
      <w:r>
        <w:rPr>
          <w:rFonts w:ascii="Times New Roman;serif" w:hAnsi="Times New Roman;serif"/>
          <w:b w:val="false"/>
          <w:color w:val="000000"/>
          <w:sz w:val="16"/>
          <w:shd w:fill="FFFFFF" w:val="clear"/>
        </w:rPr>
        <w:t xml:space="preserve">months ended </w:t>
      </w:r>
      <w:r>
        <w:rPr>
          <w:rFonts w:ascii="Times New Roman;serif" w:hAnsi="Times New Roman;serif"/>
          <w:b w:val="false"/>
          <w:color w:val="000000"/>
          <w:sz w:val="16"/>
        </w:rPr>
        <w:t>June 30, 2026</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2025,</w:t>
      </w:r>
      <w:r>
        <w:rPr>
          <w:color w:val="000000"/>
          <w:shd w:fill="FFFFFF" w:val="clear"/>
        </w:rPr>
        <w:t xml:space="preserve"> </w:t>
      </w:r>
      <w:r>
        <w:rPr>
          <w:rFonts w:ascii="Times New Roman;serif" w:hAnsi="Times New Roman;serif"/>
          <w:b w:val="false"/>
          <w:color w:val="000000"/>
          <w:sz w:val="16"/>
          <w:shd w:fill="FFFFFF" w:val="clear"/>
        </w:rPr>
        <w:t>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5.Net of reimbursements received pursuant to certain contractual arrangements of $2 million for the six months ended June 30, 2026.</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 except per share amounts)</w:t>
      </w:r>
    </w:p>
    <w:tbl>
      <w:tblPr>
        <w:tblW w:w="10205" w:type="dxa"/>
        <w:jc w:val="center"/>
        <w:tblInd w:w="0" w:type="dxa"/>
        <w:tblLayout w:type="fixed"/>
        <w:tblCellMar>
          <w:top w:w="28" w:type="dxa"/>
          <w:left w:w="28" w:type="dxa"/>
          <w:bottom w:w="28" w:type="dxa"/>
          <w:right w:w="28" w:type="dxa"/>
        </w:tblCellMar>
      </w:tblPr>
      <w:tblGrid>
        <w:gridCol w:w="780"/>
        <w:gridCol w:w="267"/>
        <w:gridCol w:w="268"/>
        <w:gridCol w:w="223"/>
        <w:gridCol w:w="430"/>
        <w:gridCol w:w="116"/>
        <w:gridCol w:w="109"/>
        <w:gridCol w:w="109"/>
        <w:gridCol w:w="109"/>
        <w:gridCol w:w="212"/>
        <w:gridCol w:w="636"/>
        <w:gridCol w:w="109"/>
        <w:gridCol w:w="109"/>
        <w:gridCol w:w="109"/>
        <w:gridCol w:w="109"/>
        <w:gridCol w:w="212"/>
        <w:gridCol w:w="635"/>
        <w:gridCol w:w="109"/>
        <w:gridCol w:w="109"/>
        <w:gridCol w:w="109"/>
        <w:gridCol w:w="109"/>
        <w:gridCol w:w="323"/>
        <w:gridCol w:w="738"/>
        <w:gridCol w:w="168"/>
        <w:gridCol w:w="109"/>
        <w:gridCol w:w="109"/>
        <w:gridCol w:w="109"/>
        <w:gridCol w:w="212"/>
        <w:gridCol w:w="484"/>
        <w:gridCol w:w="109"/>
        <w:gridCol w:w="109"/>
        <w:gridCol w:w="109"/>
        <w:gridCol w:w="109"/>
        <w:gridCol w:w="365"/>
        <w:gridCol w:w="650"/>
        <w:gridCol w:w="189"/>
        <w:gridCol w:w="109"/>
        <w:gridCol w:w="109"/>
        <w:gridCol w:w="109"/>
        <w:gridCol w:w="211"/>
        <w:gridCol w:w="631"/>
        <w:gridCol w:w="166"/>
      </w:tblGrid>
      <w:tr>
        <w:trPr/>
        <w:tc>
          <w:tcPr>
            <w:tcW w:w="7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1,473</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($0.075 per share)</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3,229</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Parent</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3,473</w:t>
            </w:r>
            <w:r>
              <w:rPr>
                <w:color w:val="000000"/>
              </w:rPr>
              <w:t>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675"/>
        <w:gridCol w:w="319"/>
        <w:gridCol w:w="320"/>
        <w:gridCol w:w="223"/>
        <w:gridCol w:w="430"/>
        <w:gridCol w:w="116"/>
        <w:gridCol w:w="109"/>
        <w:gridCol w:w="109"/>
        <w:gridCol w:w="109"/>
        <w:gridCol w:w="212"/>
        <w:gridCol w:w="636"/>
        <w:gridCol w:w="109"/>
        <w:gridCol w:w="109"/>
        <w:gridCol w:w="109"/>
        <w:gridCol w:w="109"/>
        <w:gridCol w:w="212"/>
        <w:gridCol w:w="635"/>
        <w:gridCol w:w="109"/>
        <w:gridCol w:w="109"/>
        <w:gridCol w:w="109"/>
        <w:gridCol w:w="109"/>
        <w:gridCol w:w="323"/>
        <w:gridCol w:w="738"/>
        <w:gridCol w:w="168"/>
        <w:gridCol w:w="109"/>
        <w:gridCol w:w="109"/>
        <w:gridCol w:w="109"/>
        <w:gridCol w:w="212"/>
        <w:gridCol w:w="484"/>
        <w:gridCol w:w="109"/>
        <w:gridCol w:w="109"/>
        <w:gridCol w:w="109"/>
        <w:gridCol w:w="109"/>
        <w:gridCol w:w="365"/>
        <w:gridCol w:w="650"/>
        <w:gridCol w:w="189"/>
        <w:gridCol w:w="109"/>
        <w:gridCol w:w="109"/>
        <w:gridCol w:w="109"/>
        <w:gridCol w:w="211"/>
        <w:gridCol w:w="631"/>
        <w:gridCol w:w="167"/>
      </w:tblGrid>
      <w:tr>
        <w:trPr/>
        <w:tc>
          <w:tcPr>
            <w:tcW w:w="6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($0.15 per share)</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31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3,182</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Parent</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3,473</w:t>
            </w: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1.See Note 11 – Shareowners’ Equity of the Notes to the Consolidated Financial Statements for a rollforward of common stock.</w:t>
      </w:r>
    </w:p>
    <w:p>
      <w:pPr>
        <w:pStyle w:val="TextBody"/>
        <w:bidi w:val="0"/>
        <w:spacing w:before="0" w:after="60"/>
        <w:jc w:val="both"/>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tables in millions,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Business Overview and Basis of Presentation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About the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Solstice Advanced Materials Inc. (“Solstice,” the “Business” or the “Company”) is a global specialty chemicals and advanced materials company with leading positions in refrigerants, semiconductor materials, protective fibers, and healthcare packaging. Prior to October 30, 2025, the Company was wholly owned by Honeywell International Inc. (“Honeywell” or “Parent”).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8, 2024, Honeywell announced its plan to spin off its Advanced Materials business into an independent, U.S. publicly traded company through a pro rata distribution of all of the outstanding common shares of Solstice Advanced Materials to Honeywell shareowners (the “Spin-off”) that would be tax-free for U.S. federal tax purposes. On October 30, 2025, the Spin-off was consummated by means of a pro-rata distribution (the “Distribution”), which was intended to be tax-free for U.S. federal tax purposes, of all of the issued and outstanding Solstice Advanced Materials common shares to Honeywell’s shareowners of record as of October 17, 2025 (the “Record Date”), at which time each holder of Honeywell's common shares received one Solstice Advanced Materials common share for every four Honeywell common shares held as of the close of business on the Record Date, resulting in the Distribution of 158,727,456 of the Company’s common shares to Honeywell shareowners. Upon completion of the Distribution, on October 30, 2025, the Company commenced “regular way” trading as an independent public company under the ticker symbol “SOLS” on The Nasdaq Stock Market (“Nasdaq”). Following the Distribution, Honeywell does not beneficially own any Solstice Advanced Materials common shares.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accordance with accounting principles generally accepted in the United States of America (“GAAP”) pursuant to the rules and regulations of the U.S. Securities and Exchange Commission (“SEC”).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October 30, 2025 (“the Spin-off date”), the accompanying unaudited combined financial statements have been derived from Honeywell and presented on a standalone basis as if the Company’s operations had been conducted independently. The accompanying financial statements for periods prior to the Spin-off date include all revenues and costs directly attributable to the Solstice Advanced Materials business and an allocation of expenses related to certain Honeywell corporate functions. These expenses were allocated to the Solstice business based on a proportion of net sales. Solstice and Honeywell considered these allocations to be a reasonable reflection of the utilization of services or the benefits received. However, the allocations may not be indicative of the actual expense that would have been incurred had Solstice operated as an independent, standalone entity, nor are they indicative of future expenses of Solstice.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Honeywell used a centralized approach to cash management and financing of its operations. Accordingly, for periods prior to the Spin-off, a substantial portion of the Business’s cash accounts were regularly cleared to the former Parent at Honeywell’s discretion and Honeywell funded the Business’s operating and investing activities as needed. Honeywell’s long-term debt and related interest expense were not attributed to Solstice for any of the periods presented as the Business was not the legal obligor of such borrowings and Honeywell’s borrowings were not directly attributable to the Business. All significant intercompany transactions, including transfer of cash, between Solstice and Honeywell prior to the Spin-off were included within Net transfers to Parent on the statements of cash flows and the statements of equity through the pre-Spin-off periods.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Spin-off date, the Company’s financial statements are consolidated financial statements based on our reported results as a standalone company. All significant transactions between Solstice entities were eliminated.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for all periods presented, including the historical results of the Company prior to the Spin-off, are now referred to as “Consolidated Financial Statements.” Certain items have been recast to conform to current-period presentation. We have prepared the accompanying unaudited consolidated financial statements pursuant to the rules and regulations of the SEC applicable to interim financial statements. Accordingly, certain note disclosures have been condensed. These unaudited consolidated financial statements should be read in conjunction with our audited consolidated financial statements, corresponding notes, and significant accounting policies in our Annual Report on Form 10-K for the fiscal year ended December 31, 2025 (the “2025 Annual Report on Form 10-K”). Within the financial statements and tables presented, certain columns and rows may not add due to the use of rounded numbers for presentation and disclosure purposes. Percentages presented are calculated from the underlying whole-dollar amounts.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reports its quarterly financial information using a calendar convention; the first, second, and third quarters are consistently reported as ended on March 31, June 30, and September 30, respectively. It is the Company’s practice to establish actual quarterly closing dates using a predetermined fiscal calendar, which requires the Company’s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the Company will provide appropriate disclosures. The Company’s actual closing dates for the six months ended June 30, 2026, and 2025 were June 27, 2026, and June 28,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 accounting policies of the Company are set forth in Note 2 – Summary of Significant Accounting Policies within the Company’s 2025 Annual Report on Form 10-K. The Company includes herein certain updates to those policies.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prepares its Consolidated Financial Statements in conformity with GAAP. In doing so, the Company is required to make estimates and assumptions that affect the amounts reported in the Consolidated Financial Statements and accompanying notes. The Company bases these estimates on historical experience and on various other assumptions that the Company believes are reasonable under the circumstances, the results of which form the basis for making judgments about the carrying amounts of assets and liabilities that are not readily apparent from other sources. The Company’s actual results may differ materially from these estimates. Significant estimates inherent in the preparation of these Consolidated Financial Statements include, but are not limited to, accounting for allocation of expenses related to certain Honeywell corporate functions (prior to the Spin-off), evaluation of allowance for doubtful accounts, reserve for inventory obsolescence, goodwill and other intangible assets for impairment, environmental liabilities, asset retirement obligations (“ARO”), commitments and contingencies, pension liabilities and expenses and income taxes.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Transaction-related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classifies certain expenses related to the Spin-off, as well as related to potential or completed acquisitions and divestitures (if any) as Transaction-related costs in the Consolidated Statements of Operations. The Transaction-related costs include one-time and non-recurring expenses associated with the separation and stand-up of functions required to operate as a standalone public entity. These non-recurring costs primarily relate to legal, accounting, consulting and other professional service fees, system implementation costs, business and facilities separation, development of our brand and other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Supply Chain Financing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Amounts outstanding related to supply chain financing programs are included in Accounts payable in the Consolidated Balance Sheets. Accounts payable included approximately $118 million and $98 million as of June 30, 2026 and December 31, 2025, respectively, related to supply chain financing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improves the navigability of required interim disclosures, clarifies when that guidance is applicable, and introduces a new principle requiring companies to disclose events since the end of the last annual reporting period that have a material impact on the company. The ASU can be applied prospectively or retrospectively for interim reporting periods within annual reporting periods beginning after December 15, 2027, with early adoption permitted. The Company is currently evaluating the impacts of this guidance on the Company’s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which excludes certain contracts from the scope of derivative accounting and clarifies the guidance on noncash consideration from a customer for the transfer of goods or services. The ASU can be applied prospectively for annual reporting periods beginning after December 15, 2026, and interim reporting periods within those annual reporting periods, with modified retrospective application and early adoption permitted. The Company is currently evaluating the impacts of this guidance on the Company’s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which amends the accounting for costs related to internal-use software. The update removes all references to project stages and clarifies the two conditions needed to be met to begin capitalizing costs under ASC 350-40. The ASU can be applied prospectively, retrospectively, or via a modified prospective transition approach for annual reporting periods beginning after December 15, 2027, and interim reporting periods within those annual reporting periods, with early adoption permitted. The Company is currently evaluating the impacts of this guidance on the Company’s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 Expense Disaggregation Disclosures (Subtopic 220-40): Disaggregation of Income Statement Expenses</w:t>
      </w:r>
      <w:r>
        <w:rPr>
          <w:rFonts w:ascii="Times New Roman;serif" w:hAnsi="Times New Roman;serif"/>
          <w:b w:val="false"/>
          <w:color w:val="000000"/>
          <w:sz w:val="20"/>
        </w:rPr>
        <w:t>, which requires companies to disclose additional information about the types of expenses in 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and interim reporting periods beginning after December 15, 2027, with retrospective application and early adoption permitted. The Company is currently evaluating the impacts of this guidance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Related Party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Corporate Allocations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for the periods prior to the Spin-off reflected allocations of certain expenses from Honeywell including, but not limited to, legal, accounting, information technology (“IT”), human resources and other infrastructure support. The allocation method was based on the Company’s proportion of total Honeywell revenue in each respective period, relative to the Honeywell expense cost pool. Allocations for management costs and corporate support services provided to the Company totaled $61 million and $115 million for the three and six months ended June 30, 2025, respectively, and such amounts were included within Selling, general and administrative expenses in the Consolidated Statements of Operations. These corporate allocations include stock-based compensation expense allocated to the Company for corporate and shared employees of $2 million and $8 million, and U.S. pension service costs of $0 million and $1 million for the three and six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2025, respectively. There were no such allocations for the three and six months ended June 30, 2026. Honeywell is not considered an affiliate following the Spin-off.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Related Party Sales and Purchases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sales to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Product and service sales in the Consolidated Statements of Operations include sales to affiliates of $29 million and $45 million for the three and six months ended June 30, 2026, respectively, and $25 million and $38 million for the three and six months ended June 30, 2025,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these product sales are cash-settled and reflected in the Consolidated Balance Sheets. Accounts receivable – net includes $36 million and $45 million of these transactions as of June 30, 2026 and December 31, 2025, respectively.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Purchases from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Purchases made by the Company from its affiliates, including Honeywell (through the Spin-off date), were $5 million and $10 million for the three and six months ended June 30, 2026, respectively, and $5 million and $12 million for the three and six months ended June 30, 2025, respectively. Purchases made by the Company from Honeywell were $4 million and $7 million for the three and six months ended June 30, 2025,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Accounts payable includes $7 million and $2 million as of June 30, 2026 and December 31, 2025, respectively, related to such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normal recurring purchases, ConverDyn, the Company’s consolidated VIE (refer to Note 13 – Investments for further details), holds accrued liabilities of $73 million and $69 million as of June 30, 2026 and December 31, 2025, respectively, to General Atomics relating to payments owed by ConverDyn for the standby costs of maintaining a uranium conversion facility owned by such affiliate of General Atomics. These payments cannot be paid by ConverDyn until ConverDyn fully pays to the Company the costs of operating the Nuclear Facility. Until repaid, these obligations to the affiliate of General Atomics accrue interest at the U.S. prime rate plus two percent.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loans</w:t>
      </w:r>
    </w:p>
    <w:p>
      <w:pPr>
        <w:pStyle w:val="TextBody"/>
        <w:bidi w:val="0"/>
        <w:spacing w:lineRule="auto" w:line="288" w:before="0" w:after="180"/>
        <w:jc w:val="both"/>
        <w:rPr/>
      </w:pPr>
      <w:r>
        <w:rPr>
          <w:rFonts w:ascii="Times New Roman;serif" w:hAnsi="Times New Roman;serif"/>
          <w:b w:val="false"/>
          <w:color w:val="000000"/>
          <w:sz w:val="20"/>
        </w:rPr>
        <w:t>In 2024, ConverDyn entered into an arrangement to borrow certain products from a customer of ConverDyn and loan such products to an affiliate of General Atomics until December 31, 2026, in exchange for a fixed fee billed annually. T</w:t>
      </w:r>
      <w:r>
        <w:rPr>
          <w:rFonts w:ascii="Times New Roman;serif" w:hAnsi="Times New Roman;serif"/>
          <w:b w:val="false"/>
          <w:color w:val="000000"/>
          <w:sz w:val="20"/>
          <w:shd w:fill="FFFFFF" w:val="clear"/>
        </w:rPr>
        <w:t xml:space="preserve">he Consolidated Balance Sheets </w:t>
      </w:r>
      <w:r>
        <w:rPr>
          <w:rFonts w:ascii="Times New Roman;serif" w:hAnsi="Times New Roman;serif"/>
          <w:b w:val="false"/>
          <w:color w:val="000000"/>
          <w:sz w:val="20"/>
        </w:rPr>
        <w:t xml:space="preserve">include Product loans receivable related to uranium ore of approximately $186 million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 and approximately $178 million as of December 31, 2025. This results in a net position of $0 million loans payable / receivable related to these arrangements for ConverDyn as of both June 30, 2026, and December 31, 2025. As of June 30, 2026 and December 31, 2025, the Consolidated Balance Sheet includes short-term unbilled Accounts receivable related to the loan fees receivable of approximately $0 million and $7 million,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Management and Net Parent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Spin-off, Honeywell used a centralized approach for the purpose of cash management and financing of its operations. The Company’s excess cash was transferred to Honeywell daily, and Honeywell funded the Company’s operating and investing activities as needed. The total net effect of the settlement of these intercompany transactions is reflected in the Consolidated Statements of Cash Flows as a financing activity through Net transfers to Parent. Following the Spin-off, the Company no longer participates in Honeywell’s centralized cash management program.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Support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Spin-off, Honeywell had agreed to provide the Company support through certain parent company performance guarantees that would remain in place during a transition period of up to 24 months and as guarantor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or obligor for certain letters of credit and other credit support instruments that were issued on the Company’s behalf during a transition period of up to 12 months. Effective the second quarter of 2026, the Company no longer requires credit support from Honeywell for letters of credit and other credit support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4. Revenue Recognition and Contracts with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Products and services sales are recognized when, or as, the Company transfers control of the promised products or services to its customers. Revenue is measured as the amount of consideration the Company expects to receive in exchange for transferring goods or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a comprehensive offering of products and services sold to a variety of customers in multiple end markets. See the following disaggregated revenue table and related discussions by reportable business segment for details:</w:t>
      </w:r>
    </w:p>
    <w:tbl>
      <w:tblPr>
        <w:tblW w:w="9272" w:type="dxa"/>
        <w:jc w:val="left"/>
        <w:tblInd w:w="0" w:type="dxa"/>
        <w:tblLayout w:type="fixed"/>
        <w:tblCellMar>
          <w:top w:w="28" w:type="dxa"/>
          <w:left w:w="28" w:type="dxa"/>
          <w:bottom w:w="28" w:type="dxa"/>
          <w:right w:w="28" w:type="dxa"/>
        </w:tblCellMar>
      </w:tblPr>
      <w:tblGrid>
        <w:gridCol w:w="1200"/>
        <w:gridCol w:w="1054"/>
        <w:gridCol w:w="1061"/>
        <w:gridCol w:w="274"/>
        <w:gridCol w:w="819"/>
        <w:gridCol w:w="141"/>
        <w:gridCol w:w="141"/>
        <w:gridCol w:w="141"/>
        <w:gridCol w:w="141"/>
        <w:gridCol w:w="274"/>
        <w:gridCol w:w="819"/>
        <w:gridCol w:w="141"/>
        <w:gridCol w:w="109"/>
        <w:gridCol w:w="109"/>
        <w:gridCol w:w="109"/>
        <w:gridCol w:w="254"/>
        <w:gridCol w:w="761"/>
        <w:gridCol w:w="131"/>
        <w:gridCol w:w="131"/>
        <w:gridCol w:w="131"/>
        <w:gridCol w:w="131"/>
        <w:gridCol w:w="254"/>
        <w:gridCol w:w="761"/>
        <w:gridCol w:w="185"/>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Refrigerants &amp; Applied Solutions</w:t>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Building Solutions and Intermediates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Nuclear</w:t>
            </w:r>
            <w:r>
              <w:rPr>
                <w:rFonts w:ascii="Times New Roman;serif" w:hAnsi="Times New Roman;serif"/>
                <w:b w:val="false"/>
                <w:color w:val="000000"/>
                <w:sz w:val="13"/>
              </w:rPr>
              <w:t>1</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Healthcare Packaging</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Refrigerants &amp; Applied Solutions</w:t>
            </w:r>
            <w:r>
              <w:rPr>
                <w:color w:val="000000"/>
              </w:rPr>
              <w:t xml:space="preserve"> </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1,561</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1,392</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Electronic &amp; Specialty Materials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Performance Chemicals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Materials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Safety and Defense Solutions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Electronic &amp; Specialty Materials</w:t>
            </w:r>
            <w:r>
              <w:rPr>
                <w:color w:val="000000"/>
              </w:rPr>
              <w:t xml:space="preserve"> </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579</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sales</w:t>
            </w:r>
            <w:r>
              <w:rPr>
                <w:color w:val="000000"/>
              </w:rPr>
              <w:t xml:space="preserve">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1,148</w:t>
            </w:r>
            <w:r>
              <w:rPr>
                <w:color w:val="000000"/>
              </w:rPr>
              <w:t> </w:t>
            </w:r>
          </w:p>
        </w:tc>
        <w:tc>
          <w:tcPr>
            <w:tcW w:w="1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1,033</w:t>
            </w:r>
            <w:r>
              <w:rPr>
                <w:color w:val="000000"/>
              </w:rPr>
              <w:t> </w:t>
            </w:r>
          </w:p>
        </w:tc>
        <w:tc>
          <w:tcPr>
            <w:tcW w:w="1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2,139</w:t>
            </w:r>
            <w:r>
              <w:rPr>
                <w:color w:val="000000"/>
              </w:rPr>
              <w:t>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1,930</w:t>
            </w:r>
            <w:r>
              <w:rPr>
                <w:color w:val="000000"/>
              </w:rPr>
              <w:t> </w:t>
            </w:r>
          </w:p>
        </w:tc>
        <w:tc>
          <w:tcPr>
            <w:tcW w:w="1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1.Previously known as Alternative Energy Services (AES).</w:t>
      </w:r>
    </w:p>
    <w:p>
      <w:pPr>
        <w:pStyle w:val="TextBody"/>
        <w:bidi w:val="0"/>
        <w:spacing w:before="0" w:after="6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tracks progress on satisfying performance obligations under contracts with customers and records the related billings and cash collections on the Consolidated Balance Sheets in Accounts receivable – net. Unbilled receivables (contract assets) arise when the revenue associated with the contract is recognized prior to billing and derecognized when billed in accordance with the terms of the contract. Deferred revenue (contract liabilities) arise when customers remit contractual cash payments in advance of the Company satisfying performance obligations under contractual arrangements. Contract liabilities are derecognized when performance obligations are satisfied.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Balances of contract assets are included in Accounts receivable – net, and short-term and long-term contract liabilities are included in Accrued and other current liabilities and Other noncurrent liabilities, respectively, on the Consolidated Balance Sheets. Contract balances are classified as assets or liabilities on a contract-by-contract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the end of each reporting period. The following table summarizes the Company’s contract assets and liabilities balances:</w:t>
      </w:r>
    </w:p>
    <w:tbl>
      <w:tblPr>
        <w:tblW w:w="6083" w:type="dxa"/>
        <w:jc w:val="left"/>
        <w:tblInd w:w="0" w:type="dxa"/>
        <w:tblLayout w:type="fixed"/>
        <w:tblCellMar>
          <w:top w:w="28" w:type="dxa"/>
          <w:left w:w="28" w:type="dxa"/>
          <w:bottom w:w="28" w:type="dxa"/>
          <w:right w:w="28" w:type="dxa"/>
        </w:tblCellMar>
      </w:tblPr>
      <w:tblGrid>
        <w:gridCol w:w="1520"/>
        <w:gridCol w:w="1335"/>
        <w:gridCol w:w="1344"/>
        <w:gridCol w:w="211"/>
        <w:gridCol w:w="436"/>
        <w:gridCol w:w="109"/>
        <w:gridCol w:w="109"/>
        <w:gridCol w:w="109"/>
        <w:gridCol w:w="109"/>
        <w:gridCol w:w="211"/>
        <w:gridCol w:w="43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Contract assets - (decrease) increase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June 30</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January 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Contract liabilities - (increase) decrease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June 30</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recognized revenue of $1 million that was previously included in the beginning balance of contract liabilities. There was no revenue recognized for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When contracts are modified to account for changes in contract specifications and requirements, the Company considers whether the modification either creates new or changes the existing enforceable rights and obligations.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stand-alone selling price, they are accounted for as a new contract and performance obligations, which are recognized prospectively.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defined as the unit of account. The Company allocates a contract’s transaction price to each distinct performance obligation and recognizes revenue when, or as, the performance obligation is satisfied. When contracts with customers require highly complex integration or manufacturing services not separately identifiable from other promises in the contracts and, therefore, not distinct, then the entire contract is accounted for as a single performance obligation. For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Performance obligations satisfied at a point in time are supported by contracts with customers, providing a framework for the nature of the distinct goods, services or bundle of goods and services. The timing of satisfying the performance obligation is typically indicated by the terms of the contract. Substantially all of the Company’s revenue relates to transfer of control of products or delivery of conversion services at a point in time. The Company’s contracts generally do not contain a significant financing component, as the period between when the Company transfers control of the product or service to the customer and when the customer pays for that product or service is one year or less.</w:t>
      </w:r>
    </w:p>
    <w:p>
      <w:pPr>
        <w:pStyle w:val="TextBody"/>
        <w:bidi w:val="0"/>
        <w:spacing w:lineRule="auto" w:line="288" w:before="0" w:after="180"/>
        <w:jc w:val="both"/>
        <w:rPr/>
      </w:pPr>
      <w:r>
        <w:rPr>
          <w:rFonts w:ascii="Times New Roman;serif" w:hAnsi="Times New Roman;serif"/>
          <w:b w:val="false"/>
          <w:color w:val="000000"/>
          <w:sz w:val="20"/>
        </w:rPr>
        <w:t>As of June 30, 2026, the Company’s remaining performance obligations (“RPO”), which is the aggregate amount of total contract transaction price that is unsatisfied or partially u</w:t>
      </w:r>
      <w:r>
        <w:rPr>
          <w:rFonts w:ascii="Times New Roman;serif" w:hAnsi="Times New Roman;serif"/>
          <w:b w:val="false"/>
          <w:color w:val="000000"/>
          <w:sz w:val="20"/>
          <w:shd w:fill="FFFFFF" w:val="clear"/>
        </w:rPr>
        <w:t xml:space="preserve">nsatisfied was approximately </w:t>
      </w:r>
      <w:r>
        <w:rPr>
          <w:rFonts w:ascii="Times New Roman;serif" w:hAnsi="Times New Roman;serif"/>
          <w:b w:val="false"/>
          <w:color w:val="000000"/>
          <w:sz w:val="20"/>
        </w:rPr>
        <w:t>$3.2 billion. Performance obligations expected to be satisfied within one year and greater than one year are 30% and 70%,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Income Taxes</w:t>
      </w:r>
    </w:p>
    <w:p>
      <w:pPr>
        <w:pStyle w:val="TextBody"/>
        <w:bidi w:val="0"/>
        <w:spacing w:lineRule="auto" w:line="288" w:before="0" w:after="180"/>
        <w:jc w:val="both"/>
        <w:rPr/>
      </w:pPr>
      <w:r>
        <w:rPr>
          <w:rFonts w:ascii="Times New Roman;serif" w:hAnsi="Times New Roman;serif"/>
          <w:b w:val="false"/>
          <w:color w:val="000000"/>
          <w:sz w:val="20"/>
        </w:rPr>
        <w:t>The effective tax rate in 2026 was higher than the U.S. federal statutory rate of 21%</w:t>
      </w:r>
      <w:r>
        <w:rPr>
          <w:color w:val="000000"/>
          <w:shd w:fill="FFFFFF" w:val="clear"/>
        </w:rPr>
        <w:t xml:space="preserve"> </w:t>
      </w:r>
      <w:r>
        <w:rPr>
          <w:rFonts w:ascii="Times New Roman;serif" w:hAnsi="Times New Roman;serif"/>
          <w:b w:val="false"/>
          <w:color w:val="000000"/>
          <w:sz w:val="20"/>
          <w:shd w:fill="FFFFFF" w:val="clear"/>
        </w:rPr>
        <w:t xml:space="preserve">primarily due to jurisdictional mix of earnings and state income taxes. The effective tax rate was </w:t>
      </w:r>
      <w:r>
        <w:rPr>
          <w:rFonts w:ascii="Times New Roman;serif" w:hAnsi="Times New Roman;serif"/>
          <w:b w:val="false"/>
          <w:color w:val="000000"/>
          <w:sz w:val="20"/>
        </w:rPr>
        <w:t>23.5%</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38.2%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The effective tax rate decreased during 2026 compared to 2025 </w:t>
      </w:r>
      <w:r>
        <w:rPr>
          <w:rFonts w:ascii="Times New Roman;serif" w:hAnsi="Times New Roman;serif"/>
          <w:b w:val="false"/>
          <w:color w:val="000000"/>
          <w:sz w:val="20"/>
        </w:rPr>
        <w:t>as a result of nondeductible transaction costs and discrete tax adjustments related to the Spin-off from Honeywell in the prior-year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Inventories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inventories are comprised of the following:</w:t>
      </w:r>
    </w:p>
    <w:tbl>
      <w:tblPr>
        <w:tblW w:w="4647" w:type="dxa"/>
        <w:jc w:val="left"/>
        <w:tblInd w:w="0" w:type="dxa"/>
        <w:tblLayout w:type="fixed"/>
        <w:tblCellMar>
          <w:top w:w="28" w:type="dxa"/>
          <w:left w:w="28" w:type="dxa"/>
          <w:bottom w:w="28" w:type="dxa"/>
          <w:right w:w="28" w:type="dxa"/>
        </w:tblCellMar>
      </w:tblPr>
      <w:tblGrid>
        <w:gridCol w:w="599"/>
        <w:gridCol w:w="525"/>
        <w:gridCol w:w="526"/>
        <w:gridCol w:w="296"/>
        <w:gridCol w:w="676"/>
        <w:gridCol w:w="153"/>
        <w:gridCol w:w="109"/>
        <w:gridCol w:w="109"/>
        <w:gridCol w:w="109"/>
        <w:gridCol w:w="385"/>
        <w:gridCol w:w="878"/>
        <w:gridCol w:w="282"/>
      </w:tblGrid>
      <w:tr>
        <w:trPr/>
        <w:tc>
          <w:tcPr>
            <w:tcW w:w="59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Inventories</w:t>
            </w:r>
            <w:r>
              <w:rPr>
                <w:color w:val="000000"/>
              </w:rPr>
              <w:t xml:space="preserve"> </w:t>
            </w:r>
          </w:p>
        </w:tc>
        <w:tc>
          <w:tcPr>
            <w:tcW w:w="2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w:t>
            </w:r>
            <w:r>
              <w:rPr>
                <w:color w:val="000000"/>
              </w:rPr>
              <w:t> </w:t>
            </w:r>
          </w:p>
        </w:tc>
        <w:tc>
          <w:tcPr>
            <w:tcW w:w="1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715</w:t>
            </w:r>
            <w:r>
              <w:rPr>
                <w:color w:val="000000"/>
              </w:rPr>
              <w:t> </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7. Goodwill and Other Intangible Assets – Net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below table summarizes the change in goodwill for the six months ended June 30, 2026, by segment:</w:t>
      </w:r>
    </w:p>
    <w:tbl>
      <w:tblPr>
        <w:tblW w:w="8723" w:type="dxa"/>
        <w:jc w:val="left"/>
        <w:tblInd w:w="0" w:type="dxa"/>
        <w:tblLayout w:type="fixed"/>
        <w:tblCellMar>
          <w:top w:w="28" w:type="dxa"/>
          <w:left w:w="28" w:type="dxa"/>
          <w:bottom w:w="28" w:type="dxa"/>
          <w:right w:w="28" w:type="dxa"/>
        </w:tblCellMar>
      </w:tblPr>
      <w:tblGrid>
        <w:gridCol w:w="1026"/>
        <w:gridCol w:w="901"/>
        <w:gridCol w:w="907"/>
        <w:gridCol w:w="394"/>
        <w:gridCol w:w="901"/>
        <w:gridCol w:w="205"/>
        <w:gridCol w:w="109"/>
        <w:gridCol w:w="109"/>
        <w:gridCol w:w="109"/>
        <w:gridCol w:w="914"/>
        <w:gridCol w:w="1174"/>
        <w:gridCol w:w="477"/>
        <w:gridCol w:w="109"/>
        <w:gridCol w:w="109"/>
        <w:gridCol w:w="109"/>
        <w:gridCol w:w="292"/>
        <w:gridCol w:w="665"/>
        <w:gridCol w:w="213"/>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Goodwill</w:t>
            </w:r>
            <w:r>
              <w:rPr>
                <w:color w:val="000000"/>
              </w:rPr>
              <w:t xml:space="preserve"> </w:t>
            </w:r>
          </w:p>
        </w:tc>
        <w:tc>
          <w:tcPr>
            <w:tcW w:w="3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w:t>
            </w:r>
            <w:r>
              <w:rPr>
                <w:color w:val="000000"/>
              </w:rPr>
              <w:t> </w:t>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4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w:t>
            </w:r>
            <w:r>
              <w:rPr>
                <w:color w:val="000000"/>
              </w:rPr>
              <w:t>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655"/>
        <w:gridCol w:w="479"/>
        <w:gridCol w:w="482"/>
        <w:gridCol w:w="324"/>
        <w:gridCol w:w="579"/>
        <w:gridCol w:w="170"/>
        <w:gridCol w:w="109"/>
        <w:gridCol w:w="109"/>
        <w:gridCol w:w="109"/>
        <w:gridCol w:w="407"/>
        <w:gridCol w:w="726"/>
        <w:gridCol w:w="213"/>
        <w:gridCol w:w="109"/>
        <w:gridCol w:w="109"/>
        <w:gridCol w:w="109"/>
        <w:gridCol w:w="311"/>
        <w:gridCol w:w="555"/>
        <w:gridCol w:w="163"/>
        <w:gridCol w:w="109"/>
        <w:gridCol w:w="109"/>
        <w:gridCol w:w="109"/>
        <w:gridCol w:w="324"/>
        <w:gridCol w:w="579"/>
        <w:gridCol w:w="170"/>
        <w:gridCol w:w="109"/>
        <w:gridCol w:w="109"/>
        <w:gridCol w:w="109"/>
        <w:gridCol w:w="407"/>
        <w:gridCol w:w="726"/>
        <w:gridCol w:w="213"/>
        <w:gridCol w:w="109"/>
        <w:gridCol w:w="109"/>
        <w:gridCol w:w="109"/>
        <w:gridCol w:w="306"/>
        <w:gridCol w:w="545"/>
        <w:gridCol w:w="236"/>
      </w:tblGrid>
      <w:tr>
        <w:trPr/>
        <w:tc>
          <w:tcPr>
            <w:tcW w:w="6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Definite-life intangibles</w:t>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Patents and technologies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definite-life intangibles – net</w:t>
            </w:r>
            <w:r>
              <w:rPr>
                <w:color w:val="000000"/>
              </w:rPr>
              <w:t xml:space="preserve"> </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Indefinite-life intangibles</w:t>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Other intangible assets – net</w:t>
            </w:r>
            <w:r>
              <w:rPr>
                <w:color w:val="000000"/>
              </w:rPr>
              <w:t xml:space="preserve"> </w:t>
            </w:r>
          </w:p>
        </w:tc>
        <w:tc>
          <w:tcPr>
            <w:tcW w:w="3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color w:val="000000"/>
        </w:rPr>
      </w:pPr>
      <w:r>
        <w:rPr>
          <w:color w:val="000000"/>
        </w:rPr>
        <w: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intangible assets was $0.7 million and $1.3 million for the three and six months ended June 30, 2026, respectively, and $1 million and $2 million for the three and six months ended June 30, 2025, respectively. </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Estimated intangible asset amortization expense for each of the next five years are as follows:</w:t>
      </w:r>
    </w:p>
    <w:tbl>
      <w:tblPr>
        <w:tblW w:w="3194" w:type="dxa"/>
        <w:jc w:val="left"/>
        <w:tblInd w:w="0" w:type="dxa"/>
        <w:tblLayout w:type="fixed"/>
        <w:tblCellMar>
          <w:top w:w="28" w:type="dxa"/>
          <w:left w:w="28" w:type="dxa"/>
          <w:bottom w:w="28" w:type="dxa"/>
          <w:right w:w="28" w:type="dxa"/>
        </w:tblCellMar>
      </w:tblPr>
      <w:tblGrid>
        <w:gridCol w:w="890"/>
        <w:gridCol w:w="782"/>
        <w:gridCol w:w="787"/>
        <w:gridCol w:w="250"/>
        <w:gridCol w:w="303"/>
        <w:gridCol w:w="182"/>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the components of our debt:</w:t>
      </w:r>
    </w:p>
    <w:tbl>
      <w:tblPr>
        <w:tblW w:w="8756" w:type="dxa"/>
        <w:jc w:val="left"/>
        <w:tblInd w:w="0" w:type="dxa"/>
        <w:tblLayout w:type="fixed"/>
        <w:tblCellMar>
          <w:top w:w="28" w:type="dxa"/>
          <w:left w:w="28" w:type="dxa"/>
          <w:bottom w:w="28" w:type="dxa"/>
          <w:right w:w="28" w:type="dxa"/>
        </w:tblCellMar>
      </w:tblPr>
      <w:tblGrid>
        <w:gridCol w:w="2083"/>
        <w:gridCol w:w="1835"/>
        <w:gridCol w:w="1841"/>
        <w:gridCol w:w="249"/>
        <w:gridCol w:w="747"/>
        <w:gridCol w:w="129"/>
        <w:gridCol w:w="109"/>
        <w:gridCol w:w="109"/>
        <w:gridCol w:w="109"/>
        <w:gridCol w:w="327"/>
        <w:gridCol w:w="979"/>
        <w:gridCol w:w="239"/>
      </w:tblGrid>
      <w:tr>
        <w:trPr/>
        <w:tc>
          <w:tcPr>
            <w:tcW w:w="2083"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Term Loan Facility due 2032</w:t>
            </w:r>
            <w:r>
              <w:rPr>
                <w:rFonts w:ascii="Times New Roman;serif" w:hAnsi="Times New Roman;serif"/>
                <w:b w:val="false"/>
                <w:color w:val="000000"/>
                <w:sz w:val="13"/>
              </w:rPr>
              <w:t>1</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Senior Notes due 2033</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2,109</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2,118</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and finance lease liabilities, current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2,061</w:t>
            </w:r>
            <w:r>
              <w:rPr>
                <w:color w:val="000000"/>
              </w:rPr>
              <w:t>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2,072</w:t>
            </w:r>
            <w:r>
              <w:rPr>
                <w:color w:val="000000"/>
              </w:rPr>
              <w:t> </w:t>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1.See “Senior Credit Facilities” below for information regarding interest rates for the term loan facility. </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30, 2025, the Company issued $1.0 billion of 5.625% Senior Notes (the “Notes”) due September 30, 2033. The Notes were sold in private placements to qualified institutional buyers in accordance with Rule 144A under the Securities Act of 1933, as amended (the “Securities Act”), and outside the United States to non-U.S. persons in reliance on Regulation S under the Securities Act.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29, 2025, the Company entered into a credit agreement (as amended, the “Credit Agreement”), which provides for (i) a seven-year senior secured first-lien term B loan facility in an aggregate principal amount of $1.0 billion (the “Term Loan Facility”) and (ii) a five-year senior secured first-lien revolving credit facility with aggregate commitments of $1.0 billion (the “Revolving Credit Facility” and, together with the Term Loan Facility, the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entered into uncommitted bilateral letter of credit agreements, which provide for uncommitted bilateral letter of credit facilities in an aggregate uncommitted amount of $750 million (the “Sidecar LC Facilities”, and together with the Credit Facilities, the “Senior Credit Facilities”). The Sidecar LC Facilities provide for maintenance fees which accrue per annum on the aggregate amount of any letter of credit outstanding thereunder, payable quarterly, and fees which range from 0.60% to 0.95%, depending on the issuer and the type of letter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voluntarily prepay borrowings under the Credit Agreement without premium or penalty, subject to customary “breakage” costs with respect to SOFR loans. The Company may also reduce the commitments under the Revolving Credit Facility, in whole or in part, in each case, subject to certain minimum amounts and increments.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outstanding borrowings under the Revolving Credit Facility, the interest rate on the Term Loan Facility was 5.41%, and there were $276 million of unused letters of credit issued under the Sidecar LC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certain affirmative and negative covenants customary for financings of this type. In addition, the Credit Agreement also contains financial covenants for the benefit of the lenders under the Revolving Credit Facility requiring the maintenance of certain financial ratios (as set forth in the Credit Agreement). As of June 30, 2026, the Company was in compliance with all of the financial covenants required by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Fair Value Measurements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accounting guidance for fair value measurements and disclosures establishes a three-level fair value hierarchy: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1 - Inputs are based on quoted prices in active markets for identical assets and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2 - Inputs are based on observable inputs other than quoted prices in active markets for identical or similar assets and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3 - One or more inputs are unobservable and significant.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and nonfinancial assets and liabilities are classified based on the lowest level of input that is significant to the fair value measurement.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and liabilities accounted for at fair value on a recurring basis:</w:t>
      </w:r>
    </w:p>
    <w:tbl>
      <w:tblPr>
        <w:tblW w:w="8234"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439"/>
        <w:gridCol w:w="439"/>
        <w:gridCol w:w="442"/>
        <w:gridCol w:w="109"/>
        <w:gridCol w:w="109"/>
        <w:gridCol w:w="109"/>
        <w:gridCol w:w="211"/>
        <w:gridCol w:w="466"/>
        <w:gridCol w:w="109"/>
        <w:gridCol w:w="109"/>
        <w:gridCol w:w="109"/>
        <w:gridCol w:w="109"/>
        <w:gridCol w:w="217"/>
        <w:gridCol w:w="480"/>
        <w:gridCol w:w="114"/>
        <w:gridCol w:w="109"/>
        <w:gridCol w:w="109"/>
        <w:gridCol w:w="109"/>
        <w:gridCol w:w="211"/>
        <w:gridCol w:w="466"/>
        <w:gridCol w:w="109"/>
        <w:gridCol w:w="109"/>
        <w:gridCol w:w="109"/>
        <w:gridCol w:w="109"/>
        <w:gridCol w:w="217"/>
        <w:gridCol w:w="480"/>
        <w:gridCol w:w="159"/>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Company has agreements to lend quantities of uranium ore, which are reflected as product loans receivable, and to borrow quantities of uranium ore, which are reflected as product loans payable. As both the </w:t>
      </w:r>
      <w:r>
        <w:rPr>
          <w:rFonts w:ascii="Times New Roman;serif" w:hAnsi="Times New Roman;serif"/>
          <w:b w:val="false"/>
          <w:color w:val="000000"/>
          <w:sz w:val="20"/>
        </w:rPr>
        <w:t xml:space="preserve">loans receivable and loans payable </w:t>
      </w:r>
      <w:r>
        <w:rPr>
          <w:rFonts w:ascii="Times New Roman;serif" w:hAnsi="Times New Roman;serif"/>
          <w:b w:val="false"/>
          <w:color w:val="000000"/>
          <w:sz w:val="20"/>
          <w:shd w:fill="FFFFFF" w:val="clear"/>
        </w:rPr>
        <w:t>may be settled in cash, they are both separately measured on a quarterly basis at fair value which is derived using underlying uranium ore published industry average prices. As such, these instruments are classified within Level 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outstanding debt (excluding finance lease liabilities) is estimated using quoted market prices for the same or similar debt issuances, which is a Level 2 measurement. The Company’s outstanding debt (excluding finance lease liabilities) had a carrying value and an estimated fair value of $2.0 billion as of both June 30, 2026 and December 31, 2025. See Note 8 – Debt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Stock-Based Compensation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cost, which is recognized in Selling, general, and administrative expenses in the Consolidated Statements of Operations, was $6 million and $11 million for the three and six months ended June 30, 2026, respectively, and $6 million and $12 million for the three and six months ended June 30, 2025, respectively. </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all periods prior to the Spin-off, the Consolidated Statements of Operations reflect an allocation of these expenses on a specific identification basis for employees who exclusively supported the Company or, when specific identification is not practicable, a proportional cost allocation method primarily based on revenue or directly identifiable actual costs, depending on the nature of the services.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granted 214,097 restricted stock units (“RSUs”) pursuant to the Solstice 2025 Stock Incentive Plan (the “2025 Plan”) to certain employees. The RSUs typically will vest in equal annual installments over a three-year period, subject to the employee’s continued employment. Recipients of RSUs receive dividend equivalents that are paid subject to the same vesting restrictions as the underlying award. The weighted-average fair value per share of the RSUs granted was $79.27.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granted 143,180 performance stock units (“PSUs”) pursuant to the 2025 Plan to certain employees. The PSUs typically will vest after the end of a three-year performance period consisting of the Company’s fiscal years 2026 through 2028, to the extent earned based on the achievement of specified performance goals related to adjusted earnings per share and return on invested capital, subject to a modifier based on relative total shareholder return, and further subject to the employees’ continued employment through the end of the performance period. The fair value of the PSUs was determined using a Monte Carlo simulation on the grant date. Recipients of PSUs receive dividend equivalents that are paid subject to the same vesting restrictions as the underlying award. The fair value per share of the PSUs granted was $92.42.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Shareowners’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Authorized Capital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authorized capital stock consists of 500,000,000 shares of common stock, par value $0.01 per share, and 10,000,000 shares of preferred stock, without par value.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the number of shares of common stock outstanding during the three and six months ended June 30, 2026.</w:t>
      </w:r>
    </w:p>
    <w:tbl>
      <w:tblPr>
        <w:tblW w:w="10205" w:type="dxa"/>
        <w:jc w:val="left"/>
        <w:tblInd w:w="0" w:type="dxa"/>
        <w:tblLayout w:type="fixed"/>
        <w:tblCellMar>
          <w:top w:w="28" w:type="dxa"/>
          <w:left w:w="28" w:type="dxa"/>
          <w:bottom w:w="28" w:type="dxa"/>
          <w:right w:w="28" w:type="dxa"/>
        </w:tblCellMar>
      </w:tblPr>
      <w:tblGrid>
        <w:gridCol w:w="1743"/>
        <w:gridCol w:w="1498"/>
        <w:gridCol w:w="1501"/>
        <w:gridCol w:w="891"/>
        <w:gridCol w:w="865"/>
        <w:gridCol w:w="870"/>
        <w:gridCol w:w="109"/>
        <w:gridCol w:w="109"/>
        <w:gridCol w:w="109"/>
        <w:gridCol w:w="753"/>
        <w:gridCol w:w="723"/>
        <w:gridCol w:w="1034"/>
      </w:tblGrid>
      <w:tr>
        <w:trPr/>
        <w:tc>
          <w:tcPr>
            <w:tcW w:w="17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4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beginning of period</w:t>
            </w:r>
          </w:p>
        </w:tc>
        <w:tc>
          <w:tcPr>
            <w:tcW w:w="1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w:t>
            </w:r>
            <w:r>
              <w:rPr>
                <w:color w:val="000000"/>
              </w:rPr>
              <w:t> </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158.7</w:t>
            </w:r>
            <w:r>
              <w:rPr>
                <w:color w:val="000000"/>
              </w:rPr>
              <w:t> </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employee compensation plans, net</w:t>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w:t>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end of period</w:t>
            </w:r>
          </w:p>
        </w:tc>
        <w:tc>
          <w:tcPr>
            <w:tcW w:w="17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w:t>
            </w:r>
            <w:r>
              <w:rPr>
                <w:color w:val="000000"/>
              </w:rPr>
              <w:t> </w:t>
            </w:r>
          </w:p>
        </w:tc>
        <w:tc>
          <w:tcPr>
            <w:tcW w:w="8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w:t>
            </w:r>
            <w:r>
              <w:rPr>
                <w:color w:val="000000"/>
              </w:rPr>
              <w:t> </w:t>
            </w:r>
          </w:p>
        </w:tc>
        <w:tc>
          <w:tcPr>
            <w:tcW w:w="10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Accumulated Other Comprehensive Loss by Component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loss are provided in the table below.</w:t>
      </w:r>
    </w:p>
    <w:tbl>
      <w:tblPr>
        <w:tblW w:w="10205" w:type="dxa"/>
        <w:jc w:val="left"/>
        <w:tblInd w:w="0" w:type="dxa"/>
        <w:tblLayout w:type="fixed"/>
        <w:tblCellMar>
          <w:top w:w="28" w:type="dxa"/>
          <w:left w:w="28" w:type="dxa"/>
          <w:bottom w:w="28" w:type="dxa"/>
          <w:right w:w="28" w:type="dxa"/>
        </w:tblCellMar>
      </w:tblPr>
      <w:tblGrid>
        <w:gridCol w:w="1200"/>
        <w:gridCol w:w="984"/>
        <w:gridCol w:w="986"/>
        <w:gridCol w:w="522"/>
        <w:gridCol w:w="1191"/>
        <w:gridCol w:w="270"/>
        <w:gridCol w:w="109"/>
        <w:gridCol w:w="109"/>
        <w:gridCol w:w="109"/>
        <w:gridCol w:w="457"/>
        <w:gridCol w:w="587"/>
        <w:gridCol w:w="236"/>
        <w:gridCol w:w="109"/>
        <w:gridCol w:w="109"/>
        <w:gridCol w:w="109"/>
        <w:gridCol w:w="539"/>
        <w:gridCol w:w="1094"/>
        <w:gridCol w:w="278"/>
        <w:gridCol w:w="109"/>
        <w:gridCol w:w="109"/>
        <w:gridCol w:w="109"/>
        <w:gridCol w:w="211"/>
        <w:gridCol w:w="508"/>
        <w:gridCol w:w="161"/>
      </w:tblGrid>
      <w:tr>
        <w:trPr/>
        <w:tc>
          <w:tcPr>
            <w:tcW w:w="120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Changes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2025</w:t>
            </w:r>
            <w:r>
              <w:rPr>
                <w:color w:val="000000"/>
              </w:rPr>
              <w:t xml:space="preserve">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June 30, 2026</w:t>
            </w:r>
            <w:r>
              <w:rPr>
                <w:color w:val="000000"/>
              </w:rPr>
              <w:t xml:space="preserve">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2024</w:t>
            </w:r>
            <w:r>
              <w:rPr>
                <w:color w:val="000000"/>
              </w:rPr>
              <w:t xml:space="preserve">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June 30, 2025</w:t>
            </w:r>
            <w:r>
              <w:rPr>
                <w:color w:val="000000"/>
              </w:rPr>
              <w:t xml:space="preserve"> </w:t>
            </w:r>
          </w:p>
        </w:tc>
        <w:tc>
          <w:tcPr>
            <w:tcW w:w="5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2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Amounts reclassified out of Accumulated other comprehensive loss related to pension adjustments are included within Other expense (income) in the Consolidated Statements of Operations. Amounts reclassified out of Accumulated other comprehensive loss related to cash flow hedges are included within Cost of products and services sold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Earnings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calculated by dividing net income attributable to common shareowners by the weighted average number of shares of common stock outstanding for the applicable period. Diluted EPS, calculated using the treasury stock method, reflects the potential dilution that could occur if the Company’s outstanding stock-based compensation awards were issued.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30, 2025, 158,727,456 shares of the Company’s common stock were distributed to Honeywell shareowners as of the Record Date (October 17, 2025). This amount is utilized for the calculations of both basic and diluted EPS for all periods presented prior to the Distribution. It is assumed that there was no dilutive effect of equity securities as the Company had no stock-based compensation awards outstanding prior to the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reconciliations of the numerators and denominators of the Company’s basic and diluted EPS calculations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667"/>
        <w:gridCol w:w="1338"/>
        <w:gridCol w:w="1342"/>
        <w:gridCol w:w="109"/>
        <w:gridCol w:w="109"/>
        <w:gridCol w:w="109"/>
        <w:gridCol w:w="276"/>
        <w:gridCol w:w="690"/>
        <w:gridCol w:w="142"/>
        <w:gridCol w:w="142"/>
        <w:gridCol w:w="142"/>
        <w:gridCol w:w="142"/>
        <w:gridCol w:w="276"/>
        <w:gridCol w:w="690"/>
        <w:gridCol w:w="142"/>
        <w:gridCol w:w="109"/>
        <w:gridCol w:w="109"/>
        <w:gridCol w:w="109"/>
        <w:gridCol w:w="260"/>
        <w:gridCol w:w="650"/>
        <w:gridCol w:w="134"/>
        <w:gridCol w:w="134"/>
        <w:gridCol w:w="134"/>
        <w:gridCol w:w="134"/>
        <w:gridCol w:w="260"/>
        <w:gridCol w:w="650"/>
        <w:gridCol w:w="206"/>
      </w:tblGrid>
      <w:tr>
        <w:trPr/>
        <w:tc>
          <w:tcPr>
            <w:tcW w:w="166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Solstice Advanced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0.75</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0.61</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0.75</w:t>
            </w:r>
            <w:r>
              <w:rPr>
                <w:color w:val="000000"/>
              </w:rPr>
              <w:t> </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0.61</w:t>
            </w:r>
            <w:r>
              <w:rPr>
                <w:color w:val="000000"/>
              </w:rPr>
              <w:t> </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weighted average potential shares of common stock that were excluded from diluted EPS was less than 0.1 million for both the three and six months ended June 30, 2026 because the effect of including those potential shares was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total balance of the Company’s equity method investments recorded within Equity method investments in the Consolidated Balance Sheets as of June 30, 2026 and December 31, 2025 was $174 million and $162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equity method investments in three joint ventures (“JV”), including a 49% interest in Asahi-Schwebel (Taiwan) Co., Ltd., a manufacturer of woven glass fabrics, a 49% interest in Quimobásicos, S.A. de C.V., a producer of refrigerant gases, and a 50% interest in SinoChem noted in the variable interest entities (“VIE”) investment section below. The Company records these balances within Equity method investments in the Consolidated Balance Sheets. These investments are not considered significant for disclosure of summarized financial information on either an individual or aggregated basis.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SinoChem JV (unconsolidated)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owns a 50% interest in a JV with Sinochem Lantian New Materials Co., Ltd. for foam blowing agents. The Company’s variable interest in this JV is primarily related to third-party borrowings of the JV which are guaranteed by the Company. The investment was $110 million and $103 million as of June 30, 2026 and December 31, 2025, respectively. The Company’s maximum exposure to loss related to this variable interest entity is limited to the carrying value of the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ConverDyn JV (consolidated)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owns a 50% interest in ConverDyn, which provides uranium hexafluoride conversion and related services to utilities operating nuclear power plants. The Company is the primary beneficiary and consolidates the JV. The following table summarizes the assets and liabilities of the ConverDyn JV included in the Company’s Consolidated Financial Statements (including noncontrolling interests):</w:t>
      </w:r>
    </w:p>
    <w:tbl>
      <w:tblPr>
        <w:tblW w:w="5112" w:type="dxa"/>
        <w:jc w:val="left"/>
        <w:tblInd w:w="0" w:type="dxa"/>
        <w:tblLayout w:type="fixed"/>
        <w:tblCellMar>
          <w:top w:w="28" w:type="dxa"/>
          <w:left w:w="28" w:type="dxa"/>
          <w:bottom w:w="28" w:type="dxa"/>
          <w:right w:w="28" w:type="dxa"/>
        </w:tblCellMar>
      </w:tblPr>
      <w:tblGrid>
        <w:gridCol w:w="764"/>
        <w:gridCol w:w="673"/>
        <w:gridCol w:w="678"/>
        <w:gridCol w:w="296"/>
        <w:gridCol w:w="676"/>
        <w:gridCol w:w="153"/>
        <w:gridCol w:w="109"/>
        <w:gridCol w:w="109"/>
        <w:gridCol w:w="109"/>
        <w:gridCol w:w="385"/>
        <w:gridCol w:w="878"/>
        <w:gridCol w:w="282"/>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loans receivable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assets</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w:t>
            </w:r>
            <w:r>
              <w:rPr>
                <w:color w:val="000000"/>
              </w:rPr>
              <w:t>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liabilities</w:t>
            </w:r>
            <w:r>
              <w:rPr>
                <w:rFonts w:ascii="Times New Roman;serif" w:hAnsi="Times New Roman;serif"/>
                <w:b w:val="false"/>
                <w:color w:val="000000"/>
                <w:sz w:val="13"/>
              </w:rPr>
              <w:t>1</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loans payable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w:t>
            </w:r>
            <w:r>
              <w:rPr>
                <w:color w:val="000000"/>
              </w:rPr>
              <w:t> </w:t>
            </w:r>
          </w:p>
        </w:tc>
        <w:tc>
          <w:tcPr>
            <w:tcW w:w="1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w:t>
            </w:r>
            <w:r>
              <w:rPr>
                <w:color w:val="000000"/>
              </w:rPr>
              <w:t> </w:t>
            </w:r>
          </w:p>
        </w:tc>
        <w:tc>
          <w:tcPr>
            <w:tcW w:w="28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related party payables of $73 million and $69 million as of June 30, 2026 and December 31, 2025, respectively. See Note 3 – Related Party Transactions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the Company does not believe it is possible to develop an estimate of the range of reasonably possible environmental loss in excess of the Company’s recorded liabilities. Costs related to environmental remediation are charged to expense in the period that the associated liability is accrued. The following table summarizes information concerning the Company’s recorded liabilities for environmental costs:</w:t>
      </w:r>
    </w:p>
    <w:tbl>
      <w:tblPr>
        <w:tblW w:w="8259" w:type="dxa"/>
        <w:jc w:val="left"/>
        <w:tblInd w:w="0" w:type="dxa"/>
        <w:tblLayout w:type="fixed"/>
        <w:tblCellMar>
          <w:top w:w="28" w:type="dxa"/>
          <w:left w:w="28" w:type="dxa"/>
          <w:bottom w:w="28" w:type="dxa"/>
          <w:right w:w="28" w:type="dxa"/>
        </w:tblCellMar>
      </w:tblPr>
      <w:tblGrid>
        <w:gridCol w:w="2354"/>
        <w:gridCol w:w="2064"/>
        <w:gridCol w:w="2077"/>
        <w:gridCol w:w="211"/>
        <w:gridCol w:w="376"/>
        <w:gridCol w:w="109"/>
        <w:gridCol w:w="109"/>
        <w:gridCol w:w="109"/>
        <w:gridCol w:w="109"/>
        <w:gridCol w:w="211"/>
        <w:gridCol w:w="376"/>
        <w:gridCol w:w="154"/>
      </w:tblGrid>
      <w:tr>
        <w:trPr/>
        <w:tc>
          <w:tcPr>
            <w:tcW w:w="235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Accruals for environmental matters deemed probable and reasonably estimable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Environmental liability payments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as of June 30</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shd w:fill="FFFFFF" w:val="clear"/>
              </w:rPr>
              <w:t>54</w:t>
            </w:r>
            <w:r>
              <w:rPr>
                <w:color w:val="000000"/>
                <w:shd w:fill="FFFFFF" w:val="clear"/>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shd w:fill="FFFFFF" w:val="clear"/>
              </w:rPr>
              <w:t>53</w:t>
            </w:r>
            <w:r>
              <w:rPr>
                <w:color w:val="000000"/>
                <w:shd w:fill="FFFFFF" w:val="clear"/>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Asset Retirement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Asset retirement obligations result from legal obligations associated with the retirement of long-lived assets that result from the acquisition, construction, development and/or the normal operation of a long-lived asset. Accordingly, the Company recognizes asset retirement obligations in the period in which they are incurred if a reasonable estimate of fair value can be made. The associated asset retirement costs are capitalized as part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carrying amount of the long-lived asset. The Company depreciates the amount added to property, plant and equipment on a straight-line basis, and recognizes accretion expense in connection with the discounted liability over the remaining useful life of the asset.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as a liability the present value of the estimated future costs to decommission its uranium conversion facility. The estimated liability is based on the estimated useful lives of the underlying asset, third-party estimates of the cost to decommission the asset in the future, and federal and state regulatory requirements, adjusted for inflation and discounted using the Company’s credit-adjusted risk-free rate that ranges from 6.5% to 6.6%. Revisions to the liability could occur due to changes in the Company’s estimated useful lives of the underlying assets, estimated dates of decommissioning and timing of related cash outflows, changes in decommissioning costs, changes in federal or state regulatory guidance on the decommissioning of such facilities, or other changes in estimates. The Company recognizes changes due to revised estimates by adjusting the carrying amount of the liability and the related long-lived asset if the asset is still in service or charged to expense in the period if the asset is no longer in service.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Nuclear Facility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Since 2018, the Company has been involved in various legal proceedings in the United States District Court for the Southern District of Illinois related to its Nuclear Facility, including eight separate lawsuits alleging cancer caused by radiation exposures that were settled in 2024. The Company remains involved in additional legal proceedings (i) related to alleged radiation contamination of properties around the plant by the city of Metropolis, Illinois, and the county of Massac, Illinois, (ii) a class action lawsuit alleging property damage by a group of plaintiffs on behalf of all property owners within a three-mile radius of the facility, and (iii) one alleged personal injury case. The Company is currently awaiting rulings on a motion for summary judgment related to the city and county cases, with rulings expected in 2026. For the alleged class action, the parties completed briefing on the plaintiffs’ motion for class certification and a ruling is expected in 2026. All plaintiffs in these matters are seeking compensatory damages and, in certain cases, punitive damages, medical monitoring, declaratory and/or injunctive relief. The Department of Energy (“the DoE”) has reached an agreement with the Company pursuant to which we understand the DoE intends to take appropriate action to provide sufficient assurance of the continued operational availability of the Company’s Nuclear Facility to support the existing and future demand for uranium hexafluoride, including by extending reimbursement to the Company for certain litigation costs. In addition, the Company is also pursuing claims under Honeywell’s nuclear liability policies with American Nuclear Insurers. While we cannot predict the outcome of these matters, based on the facts currently known to us, we do not anticipate that these matters will have a material adverse effect on our financial condition, results of operations, or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Company’s agreement with the DoE, the DoE has also agreed to share in certain costs in connection with the expansion of our Nuclear Facility.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number of other lawsuits, investigations, and disputes (some of which involve substantial amounts claimed) arising out of the conduct of the Company's business, including matters relating to commercial transactions,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uncertainty inherent in litigation and investigations,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new developments (including new discovery of facts, changes in legislation, and outcomes of similar cases through the judicial system) or changes in assumptions, which could cause the Company to pay damage awards or settlements (or become subject to equitable remedies) that could have a material adverse effect on the Company's consolidated results of operations or operating cash flows in the periods recognized or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15. Segment Financial Data </w:t>
      </w:r>
    </w:p>
    <w:p>
      <w:pPr>
        <w:pStyle w:val="TextBody"/>
        <w:bidi w:val="0"/>
        <w:spacing w:lineRule="auto" w:line="288" w:before="0" w:after="180"/>
        <w:jc w:val="both"/>
        <w:rPr/>
      </w:pPr>
      <w:r>
        <w:rPr>
          <w:rFonts w:ascii="Times New Roman;serif" w:hAnsi="Times New Roman;serif"/>
          <w:b w:val="false"/>
          <w:color w:val="000000"/>
          <w:sz w:val="20"/>
        </w:rPr>
        <w:t xml:space="preserve">The Company globally manages its business operations through two reportable business segments. Segment information is consistent with how the President and Chief Executive Officer of Solstice Advanced Materials, who is the Chief Operating Decision Maker (“CODM”), and management reviews the businesses, makes investing and resource allocation decisions, and assesses operating performance. The Company manages and reports its operating results through its two reportable segments: (i) Refrigerants &amp; Applied Solutions and (ii) Electronic &amp; Specialty Materials,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The remainder of the Business’s operations are presented in Corporate and All Other, which is not a reportable business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CODM evaluates segment performance based on segment adjusted EBITDA, by comparing budget-to-actual and period-over-period results. Segment Adjusted EBITDA is defined as segment net income excluding income taxes, general corporate unallocated expense, depreciation, amortization, interest and other financial charges, remeasurement of foreign currencies, stock-based compensation expense, nonoperating pension expense (income), transaction-related costs, repositioning charges, asset retirement obligations accretion, asset impairment charges, litigation costs and insurance settlements (net of recoveries), gains and losses on disposal of assets, and certain other items that are otherwise of an unusual or non-recurring nature.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below table summarizes information about segment revenues, significant segment expenses and other segment items, for each historical period:</w:t>
      </w:r>
    </w:p>
    <w:tbl>
      <w:tblPr>
        <w:tblW w:w="10205" w:type="dxa"/>
        <w:jc w:val="left"/>
        <w:tblInd w:w="0" w:type="dxa"/>
        <w:tblLayout w:type="fixed"/>
        <w:tblCellMar>
          <w:top w:w="28" w:type="dxa"/>
          <w:left w:w="28" w:type="dxa"/>
          <w:bottom w:w="28" w:type="dxa"/>
          <w:right w:w="28" w:type="dxa"/>
        </w:tblCellMar>
      </w:tblPr>
      <w:tblGrid>
        <w:gridCol w:w="1197"/>
        <w:gridCol w:w="644"/>
        <w:gridCol w:w="653"/>
        <w:gridCol w:w="446"/>
        <w:gridCol w:w="1021"/>
        <w:gridCol w:w="233"/>
        <w:gridCol w:w="109"/>
        <w:gridCol w:w="109"/>
        <w:gridCol w:w="109"/>
        <w:gridCol w:w="438"/>
        <w:gridCol w:w="971"/>
        <w:gridCol w:w="230"/>
        <w:gridCol w:w="109"/>
        <w:gridCol w:w="109"/>
        <w:gridCol w:w="109"/>
        <w:gridCol w:w="446"/>
        <w:gridCol w:w="1021"/>
        <w:gridCol w:w="233"/>
        <w:gridCol w:w="109"/>
        <w:gridCol w:w="109"/>
        <w:gridCol w:w="109"/>
        <w:gridCol w:w="426"/>
        <w:gridCol w:w="944"/>
        <w:gridCol w:w="321"/>
      </w:tblGrid>
      <w:tr>
        <w:trPr/>
        <w:tc>
          <w:tcPr>
            <w:tcW w:w="1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Net sales</w:t>
            </w:r>
            <w:r>
              <w:rPr>
                <w:color w:val="000000"/>
              </w:rPr>
              <w:t xml:space="preserve"> </w:t>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w:t>
            </w: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w:t>
            </w: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products and services sold</w:t>
            </w:r>
            <w:r>
              <w:rPr>
                <w:rFonts w:ascii="Times New Roman;serif" w:hAnsi="Times New Roman;serif"/>
                <w:b w:val="false"/>
                <w:color w:val="000000"/>
                <w:sz w:val="13"/>
              </w:rPr>
              <w:t>1</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Selling, general and administrative expenses</w:t>
            </w:r>
            <w:r>
              <w:rPr>
                <w:rFonts w:ascii="Times New Roman;serif" w:hAnsi="Times New Roman;serif"/>
                <w:b w:val="false"/>
                <w:color w:val="000000"/>
                <w:sz w:val="13"/>
              </w:rPr>
              <w:t>2</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development expenses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Segment Adjusted EBITDA</w:t>
            </w:r>
            <w:r>
              <w:rPr>
                <w:color w:val="000000"/>
              </w:rPr>
              <w:t xml:space="preserve"> </w:t>
            </w:r>
          </w:p>
        </w:tc>
        <w:tc>
          <w:tcPr>
            <w:tcW w:w="4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w:t>
            </w:r>
            <w:r>
              <w:rPr>
                <w:color w:val="000000"/>
              </w:rPr>
              <w:t>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ARO accretion, repositioning charges, and other non-recurring items.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2.Amounts exclude stock-based compensation expense, transaction costs, nonoperating pension expense (income), repositioning charges, and other non-recurring items.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segment items primarily consisted of gains and losses from segment-related equity-method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098"/>
        <w:gridCol w:w="700"/>
        <w:gridCol w:w="695"/>
        <w:gridCol w:w="383"/>
        <w:gridCol w:w="1118"/>
        <w:gridCol w:w="199"/>
        <w:gridCol w:w="109"/>
        <w:gridCol w:w="109"/>
        <w:gridCol w:w="109"/>
        <w:gridCol w:w="431"/>
        <w:gridCol w:w="985"/>
        <w:gridCol w:w="223"/>
        <w:gridCol w:w="109"/>
        <w:gridCol w:w="109"/>
        <w:gridCol w:w="109"/>
        <w:gridCol w:w="383"/>
        <w:gridCol w:w="1118"/>
        <w:gridCol w:w="199"/>
        <w:gridCol w:w="109"/>
        <w:gridCol w:w="109"/>
        <w:gridCol w:w="109"/>
        <w:gridCol w:w="420"/>
        <w:gridCol w:w="957"/>
        <w:gridCol w:w="315"/>
      </w:tblGrid>
      <w:tr>
        <w:trPr/>
        <w:tc>
          <w:tcPr>
            <w:tcW w:w="10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Net sales </w:t>
            </w:r>
          </w:p>
        </w:tc>
        <w:tc>
          <w:tcPr>
            <w:tcW w:w="1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1,561</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579</w:t>
            </w: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1,392</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w:t>
            </w: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products and services sold</w:t>
            </w:r>
            <w:r>
              <w:rPr>
                <w:rFonts w:ascii="Times New Roman;serif" w:hAnsi="Times New Roman;serif"/>
                <w:b w:val="false"/>
                <w:color w:val="000000"/>
                <w:sz w:val="13"/>
              </w:rPr>
              <w:t>1</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Selling, general and administrative expenses</w:t>
            </w:r>
            <w:r>
              <w:rPr>
                <w:rFonts w:ascii="Times New Roman;serif" w:hAnsi="Times New Roman;serif"/>
                <w:b w:val="false"/>
                <w:color w:val="000000"/>
                <w:sz w:val="13"/>
              </w:rPr>
              <w:t>2</w:t>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development expenses</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Segment Adjusted EBITDA </w:t>
            </w:r>
          </w:p>
        </w:tc>
        <w:tc>
          <w:tcPr>
            <w:tcW w:w="3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w:t>
            </w:r>
            <w:r>
              <w:rPr>
                <w:color w:val="000000"/>
              </w:rPr>
              <w:t> </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w:t>
            </w:r>
            <w:r>
              <w:rPr>
                <w:color w:val="000000"/>
              </w:rPr>
              <w:t> </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3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ARO accretion, repositioning charges, and other non-recurring items.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2.Amounts exclude stock-based compensation expense, transaction costs, nonoperating pension expense (income), repositioning charges, and other non-recurring items.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segment items primarily consisted of gains and losses from segment-related equity-method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segment adjusted EBITDA to Net income attributable to Solstice Advanced Materials is as follows:</w:t>
      </w:r>
    </w:p>
    <w:tbl>
      <w:tblPr>
        <w:tblW w:w="10205" w:type="dxa"/>
        <w:jc w:val="left"/>
        <w:tblInd w:w="0" w:type="dxa"/>
        <w:tblLayout w:type="fixed"/>
        <w:tblCellMar>
          <w:top w:w="28" w:type="dxa"/>
          <w:left w:w="28" w:type="dxa"/>
          <w:bottom w:w="28" w:type="dxa"/>
          <w:right w:w="28" w:type="dxa"/>
        </w:tblCellMar>
      </w:tblPr>
      <w:tblGrid>
        <w:gridCol w:w="1642"/>
        <w:gridCol w:w="1387"/>
        <w:gridCol w:w="1397"/>
        <w:gridCol w:w="304"/>
        <w:gridCol w:w="696"/>
        <w:gridCol w:w="157"/>
        <w:gridCol w:w="157"/>
        <w:gridCol w:w="157"/>
        <w:gridCol w:w="157"/>
        <w:gridCol w:w="304"/>
        <w:gridCol w:w="696"/>
        <w:gridCol w:w="157"/>
        <w:gridCol w:w="109"/>
        <w:gridCol w:w="109"/>
        <w:gridCol w:w="109"/>
        <w:gridCol w:w="284"/>
        <w:gridCol w:w="649"/>
        <w:gridCol w:w="146"/>
        <w:gridCol w:w="146"/>
        <w:gridCol w:w="146"/>
        <w:gridCol w:w="146"/>
        <w:gridCol w:w="284"/>
        <w:gridCol w:w="649"/>
        <w:gridCol w:w="217"/>
      </w:tblGrid>
      <w:tr>
        <w:trPr/>
        <w:tc>
          <w:tcPr>
            <w:tcW w:w="164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Segment Adjusted EBITDA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1</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w:t>
            </w:r>
          </w:p>
        </w:tc>
        <w:tc>
          <w:tcPr>
            <w:tcW w:w="3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adjustments primarily consisted of gains and losses from disposal of long-lived assets, remeasurement of foreign currencies, environmental reserves, asset retirement obligations, nonoperating pension expense (income), and certain legal costs, net of recoveries.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both"/>
        <w:rPr/>
      </w:pPr>
      <w:r>
        <w:rPr/>
      </w:r>
    </w:p>
    <w:p>
      <w:pPr>
        <w:pStyle w:val="TextBody"/>
        <w:bidi w:val="0"/>
        <w:spacing w:before="0" w:after="60"/>
        <w:jc w:val="both"/>
        <w:rPr/>
      </w:pPr>
      <w:r>
        <w:rPr/>
      </w:r>
    </w:p>
    <w:tbl>
      <w:tblPr>
        <w:tblW w:w="5831" w:type="dxa"/>
        <w:jc w:val="left"/>
        <w:tblInd w:w="0" w:type="dxa"/>
        <w:tblLayout w:type="fixed"/>
        <w:tblCellMar>
          <w:top w:w="28" w:type="dxa"/>
          <w:left w:w="28" w:type="dxa"/>
          <w:bottom w:w="28" w:type="dxa"/>
          <w:right w:w="28" w:type="dxa"/>
        </w:tblCellMar>
      </w:tblPr>
      <w:tblGrid>
        <w:gridCol w:w="1026"/>
        <w:gridCol w:w="903"/>
        <w:gridCol w:w="905"/>
        <w:gridCol w:w="249"/>
        <w:gridCol w:w="747"/>
        <w:gridCol w:w="129"/>
        <w:gridCol w:w="109"/>
        <w:gridCol w:w="109"/>
        <w:gridCol w:w="109"/>
        <w:gridCol w:w="327"/>
        <w:gridCol w:w="979"/>
        <w:gridCol w:w="239"/>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reconciliation</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r>
              <w:rPr>
                <w:rFonts w:ascii="Times New Roman;serif" w:hAnsi="Times New Roman;serif"/>
                <w:b/>
                <w:color w:val="000000"/>
                <w:sz w:val="20"/>
              </w:rPr>
              <w:t>assets</w:t>
            </w:r>
            <w:r>
              <w:rPr>
                <w:color w:val="000000"/>
              </w:rPr>
              <w:t xml:space="preserve"> </w:t>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5,918</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5,673</w:t>
            </w:r>
            <w:r>
              <w:rPr>
                <w:color w:val="000000"/>
              </w:rPr>
              <w:t> </w:t>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16" w:type="dxa"/>
        <w:jc w:val="left"/>
        <w:tblInd w:w="0" w:type="dxa"/>
        <w:tblLayout w:type="fixed"/>
        <w:tblCellMar>
          <w:top w:w="28" w:type="dxa"/>
          <w:left w:w="28" w:type="dxa"/>
          <w:bottom w:w="28" w:type="dxa"/>
          <w:right w:w="28" w:type="dxa"/>
        </w:tblCellMar>
      </w:tblPr>
      <w:tblGrid>
        <w:gridCol w:w="1027"/>
        <w:gridCol w:w="901"/>
        <w:gridCol w:w="906"/>
        <w:gridCol w:w="222"/>
        <w:gridCol w:w="508"/>
        <w:gridCol w:w="115"/>
        <w:gridCol w:w="115"/>
        <w:gridCol w:w="115"/>
        <w:gridCol w:w="115"/>
        <w:gridCol w:w="222"/>
        <w:gridCol w:w="508"/>
        <w:gridCol w:w="162"/>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rFonts w:ascii="Times New Roman;serif" w:hAnsi="Times New Roman;serif"/>
                <w:b/>
                <w:color w:val="000000"/>
                <w:sz w:val="13"/>
              </w:rPr>
              <w:t>1</w:t>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w:t>
            </w:r>
            <w:r>
              <w:rPr>
                <w:color w:val="000000"/>
              </w:rPr>
              <w:t>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1.Unpaid capital expenditure was $83 million as of June 30, 2026.</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Subsequent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evaluated subsequent events for recognition or disclosure through July 30, 2026, the date the Consolidated Financial Statements were available to be issued.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6, 2026, the Company entered into an Agreement and Plan of Merger (the “Merger Agreement”) with Solar Merger Sub One Inc., a Delaware corporation and a wholly-owned subsidiary of the Company (“Merger Sub One”), Solar Merger Sub Two LLC, a Delaware limited liability company and a wholly-owned subsidiary of the Company (“Merger Sub Two” and, together with Merger Sub One, the “Merger Subs”), and Element Solutions Inc, a Delaware corporation (“Element Solutions”).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Merger Agreement provides that, among other things and on the terms and subject to the conditions set forth therein, the Company will acquire Element Solutions through the following: (i) first, Merger Sub One will merge with and into Element Solutions (the “First Merger”), with Element Solutions surviving the merger as a wholly-owned subsidiary of the Company (the “Surviving Corporation”), and (ii) immediately following the First Merger, the Surviving Corporation will merge with and into Merger Sub Two (the “Second Merger” and together with the First Merger, the “Mergers”), with Merger Sub Two surviving the Second Merger as a wholly-owned subsidiary of the Company (the “Surviving Company”). The Mergers and the other transactions contemplated by the Merger Agreement are collectively referred to as the “Transactions.” Under the terms of the Merger Agreement, Element Solutions stockholders will receive, for each share of Element Solutions common stock, $10.00 in cash, without interest, and 0.500 shares of Company common stock, plus cash in lieu of any fractional shares of Company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Consummation of the Mergers is subject to the satisfaction or waiver of certain conditions, including adoption of the Merger Agreement by Element Solutions’ stockholders and approval of the issuance of shares of Company common stock in the Mergers by the Company’s stockholders and receipt of required regulatory approvals. The Merger Agreement may be terminated under certain circumstances, including by either party if the Mergers have not been consummated by July 6, 2027, subject to an automatic extension until January 5, 2028 under certain circumstances for the purposes of obtaining certain regulatory approvals. If the Merger Agreement is terminated under certain specified circumstances, including pursuant to a competing proposal or in the event that Honeywell revokes its consent pursuant to the Tax Matters Agreement entered into between the Company and Honeywell, or otherwise seeks to prohibit the Mergers, the Company may be required to pay Element Solutions a termination fee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$385.0 million or $513 million. If the Merger Agreement is terminated under certain specified circumstances, Element Solutions may be required to pay the Company a termination fee of $376.0 million.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entering into the Merger Agreement, the Company entered into a commitment letter (the “Commitment Letter”), dated as of July 6, 2026, with Goldman Sachs Bank USA and Goldman Sachs Lending Partners LLC (together, the “Commitment Parties”), pursuant to which, among other things, the Commitment Parties agreed to provide a first lien senior secured 364-day bridge term loan credit facility in an aggregate principal amount of up to $4.685 billion (the “Bridge Facility”). The Bridge Facility has been syndicated to a group of lenders consisting of a majority of the Company’s existing lenders under the Revolving Credit Facility. The Commitment Letter also provides for a $1.0 billion backstop senior secured revolving credit facility (the “Backstop Revolving Facility” and together with the Bridge Facility, the “Facilities”), which will only be established in the event that a proposed amendment to the Company’s Credit Agreement to permit the Bridge Facility does not become effective on or prior to the closing of the Transactions. Subsequent to June 30, 2026, such amendment to the Credit Agreement became effective, as described below, and, as a result, the Backstop Revolving Facility will not be established.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Bridge Commitment Letter also contemplates that the Company will seek to obtain permanent financing in the form of a senior secured term loan B facility and unsecured notes in public or private offering(s) prior to the closing of the Transactions (collectively, the “Permanent Financing”). The Bridge Facility is intended to be available to the Company to finance, together with other sources of funds, the acquisition, the refinancing of certain existing indebtedness of Element Solutions and related fees and expenses in connection with the Transactions, in the event that the Company has not obtained the Permanent Financing on or prior to the closing of the Transactions. Commitments under the Bridge Facility will be reduced by the amount of any Permanent Financing as well as certain other events. The receipt of financing by the Company is not a condition to the Company’s obligation to consummate the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Facilities are subject to customary conditions precedent to funding, including the consummation of the Transactions in all material respects in accordance with the terms of the Merger Agreement and other customary funding conditions for facilities of this type, and contain customary representations, warranties, covenants and indemnification provisions for transactions of this nature.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transaction was unanimously approved by the respective Boards of Directors of both companies and is expected to close in the first half of 2027, subject to customary closing conditions, including receipt of required regulatory approvals and approval by the Company’s shareowners and Element Solutions’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2026, the Company entered into an amendment to the Credit Agreement to allow, among other things, for the provision of $4.685 billion in bridge financing to the Company and certain other transactions in connection with the Merger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Management’s Discussion and Analysis of Financial Condition and Results of Operations is intended to help the reader understand the results of operations and financial condition of Solstice Advanced Materials Inc. and its consolidated subsidiaries (“Solstice,” “Solstice Advanced Materials,” “we,” “us,” “our,” or the “Company”) for the three and six months ended June 30, 2026. The financial information as of June 30, 2026 should be read in conjunction with the Consolidated Financial Statements for the year ended December 31, 2025, contained in our 2025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Solstice is a global, differentiated advanced materials company and a leading global provider of refrigerants, blowing agents, conversion services for the nuclear energy sector, semiconductor materials, protective fibers and healthcare packaging. We operate through two segments, reported as Refrigerants &amp; Applied Solutions (“RAS”) and Electronic &amp; Specialty Materials (“ESM”). Our business is recognized as an industry innovator as well as a technology and quality leader, supported by some of the industry’s most well-known brands.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RAS segment is a leading manufacturer of low global warming potential (“LGWP”) refrigerants, blowing agents, solvents, and aerosol materials, as well as conversion services for the nuclear energy sector. RAS serves the end markets of cooling, air conditioning and refrigeration (“HVAC/R”), automotive, nuclear energy, building and appliance insulation, and healthcare. RAS products include, among others, LGWP refrigerants, blowing agents, aerosol propellants, cleaning solvents, high-barrier pharmaceutical packaging materials and conversion services for nuclear energy providers. Our products are distributed and sold through well-known brands like Solstice, Genetron, and Aclar.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ESM segment is a leading provider of electronic materials, high-strength fibers and laboratory life science chemicals. ESM primarily serves the semiconductor, defense, pharmaceutical and construction end markets. ESM products include, among others, sputtering targets, lightweight high-strength fibers and high-purity life science solutions. Our products are distributed and sold through well-known brands like Spectra, Fluka, and Hydranal.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serves over 3,000 customers across a wide range of end markets in approximately 120 countries and territories. Our global presence included 20 manufacturing sites and four standalone research and development (“R&amp;D”) sites as of June 30,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Proposed Acquisition of Element Solutions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6, 2026, Solstice entered into an Agreement and Plan of Merger (the “Merger Agreement”) to acquire Element Solutions Inc (“Element Solutions”) in a cash-and-stock transaction pursuant to which Element Solutions stockholders will receive, for each share of Element Solutions common stock, $10.00 in cash and 0.500 shares of Solstice common stock. The transactions contemplated pursuant to the Merger Agreement are referred to as the “Transactions”.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entering into the Merger Agreement, Solstice entered into a commitment letter providing among other things, financing for the Transactions in the form of an initial $4.685 billion bridge commitment from Goldman Sachs Bank USA and Goldman Sachs Lending Partners LLC. Solstice intends to obtain permanent debt financing in the form of a senior secured term loan B facility and unsecured notes in public or private offering(s) prior to the closing of the Transactions. Solstice intends to use any such financing in addition to cash from its balance sheet to fund the cash consideration payable at closing of the Transactions. The receipt of financing by Solstice is not a condition to Solstice’s obligation to consummate the Transactions.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16 – Subsequent Events for additional information regarding the Transactions.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Organization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30, 2025 (“the “Spin-off date”), Honeywell International Inc. (“Honeywell”) completed the Spin-off of Solstice by means of a pro rata distribution (the “Distribution”), which was intended to be tax-free for U.S. federal tax purposes, of all of the issued and outstanding Solstice Advanced Materials common shares to Honeywell’s shareowners of record as of the close of business on October 17, 2025 (the “Record Date”), at which time each holder of Honeywell's common shares received one Solstice Advanced Materials common share for every four Honeywell common shares held as of the close of business on the Record Date, resulting in the Distribution of 158,727,456 of the Company’s common shares to Honeywell shareowners. Upon completion of the Distribution, on October 30, 2025, the Company commenced “regular way” trading as an independent public company under the ticker symbol “SOLS” on The Nasdaq Stock Market (“Nasdaq”). Following the Distribution, Honeywell does not beneficially own any Solstice Advanced Materials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Relationship with Honeywell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accordance with accounting principles generally accepted in the United States of America (“GAAP”) pursuant to the rules and regulations of the U.S. Securities and Exchange Commission (“SEC”).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Spin-off date, the accompanying combined financial statements were derived from the consolidated financial statements and accounting records of Honeywell and presented on a standalone basis as if the Company’s operations had been conducted independently from Honeywell, which includes all revenues and costs directly attributable to the Solstice Advanced Materials business and an allocation of expenses related to certain Honeywell corporate functions. These expenses were allocated to the Solstice Advanced Materials business based on a proportion of net sales and may not be indicative of the actual expense that would have been incurred had Solstice operated as an independent, standalone entity, nor are they indicative of future expenses of the Company. All significant intercompany balances between Solstice and Honeywell prior to the Spin-off date were included within Net Parent investment on the accompanying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Spin-off date, the Company’s financial statements have been prepared on a consolidated financial basis and include the accounts of the Company and those of its subsidiaries and any variable interest entities for which the Company is the primary beneficiary. All significant transactions between Solstice entities were eliminated and any transactions with Honeywell or its subsidiaries are now recorded as third-party transactions.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certain expenses related to the Spin-off, as well as related to potential or completed acquisitions and divestitures (if any) as Transaction-related costs in the Consolidated Statements of Operations. The Transaction-related costs related to the Spin-off include one-time and non-recurring expenses associated with the separation and stand-up of functions required to operate as a standalone public entity. These non-recurring costs primarily relate to legal, accounting, consulting and other professional service fees, system implementation costs, business and facilities separation, marketing development related to our brand and other matters.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Spin-off from Honeywell, Solstice entered into a Tax Matters Agreement with Honeywell. If the Merger Agreement is terminated under certain specified circumstances, including pursuant to a competing proposal or in the event that Honeywell revokes its consent pursuant to the Tax Matters Agreement entered into between the Company and Honeywell, or otherwise seeks to prohibit the Mergers, the Company may be required to pay Element Solutions a termination fee of $385.0 million or $513 million. If the Merger Agreement is terminated under certain specified circumstances, Element Solutions may be required to pay the Company a termination fee of $376.0 million.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agreements with Honeywell, see Part II. Item 7. “Management’s Discussion and Analysis of Financial Condition and Results of Operations—Overview—Relationship with Honeywell” included within our 2025 Annual Report on Form 10-K.</w:t>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Macroeconomic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macroeconomic environment during the period remained volatile, driven by elevated geopolitical tensions, including ongoing conflicts in Ukraine and the Middle East, as well as heightened trade and diplomatic frictions among major economies. These conditions contributed to uncertainty in global markets, foreign currency volatility, and fluctuations in energy and commodity prices. Geopolitical tension and evolving trade and tariff policies continued to disrupt global supply chains, resulting in higher input costs and periodic supply constraints. We continue to monitor macroeconomic and geopolitical developments including heightened trade tensions, economic and trade policy uncertainty, and inflationary risks.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Mitigation strategies remain crucial to meet customer demand in this evolving environment. Our mitigation strategies include supply chain simplification, continued alignment to local supply sources, pricing actions and dual source strategies, long-term strategies for constrained materials, direct engagement with key suppliers, and new supplier development. Strong relationships with strategic primary and secondary suppliers allow us to collaborate to reliably source key components and raw materials, develop new products, commit our resources to assist certain suppliers, and at times, alter designs of existing products. We believe these mitigation strategies enable us to reduce supply risk, foster new product innovation, and expand our market presence. Additionally, due to the stringent quality controls and product qualification we perform on any new or altered product, these mitigation strategies have not impacted, and we do not expect them to impact, product quality or reliability.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date, our strategies have helped minimize our exposure to these conditions. However, if we are not successful in sustaining or executing mitigation strategies, these macroeconomic conditions could have a material adverse effect on our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Statement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three months ended June 30, 2026 compared with the three months ended June 30, 2025</w:t>
      </w:r>
    </w:p>
    <w:tbl>
      <w:tblPr>
        <w:tblW w:w="10205" w:type="dxa"/>
        <w:jc w:val="left"/>
        <w:tblInd w:w="0" w:type="dxa"/>
        <w:tblLayout w:type="fixed"/>
        <w:tblCellMar>
          <w:top w:w="28" w:type="dxa"/>
          <w:left w:w="28" w:type="dxa"/>
          <w:bottom w:w="28" w:type="dxa"/>
          <w:right w:w="28" w:type="dxa"/>
        </w:tblCellMar>
      </w:tblPr>
      <w:tblGrid>
        <w:gridCol w:w="1368"/>
        <w:gridCol w:w="676"/>
        <w:gridCol w:w="681"/>
        <w:gridCol w:w="220"/>
        <w:gridCol w:w="659"/>
        <w:gridCol w:w="283"/>
        <w:gridCol w:w="113"/>
        <w:gridCol w:w="113"/>
        <w:gridCol w:w="113"/>
        <w:gridCol w:w="220"/>
        <w:gridCol w:w="659"/>
        <w:gridCol w:w="283"/>
        <w:gridCol w:w="109"/>
        <w:gridCol w:w="109"/>
        <w:gridCol w:w="109"/>
        <w:gridCol w:w="109"/>
        <w:gridCol w:w="371"/>
        <w:gridCol w:w="197"/>
        <w:gridCol w:w="543"/>
        <w:gridCol w:w="196"/>
        <w:gridCol w:w="196"/>
        <w:gridCol w:w="196"/>
        <w:gridCol w:w="371"/>
        <w:gridCol w:w="197"/>
        <w:gridCol w:w="543"/>
        <w:gridCol w:w="109"/>
        <w:gridCol w:w="109"/>
        <w:gridCol w:w="109"/>
        <w:gridCol w:w="297"/>
        <w:gridCol w:w="223"/>
        <w:gridCol w:w="724"/>
      </w:tblGrid>
      <w:tr>
        <w:trPr/>
        <w:tc>
          <w:tcPr>
            <w:tcW w:w="136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2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2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millions)</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1,148</w:t>
            </w: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1,033</w:t>
            </w: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expenses and other</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products and services sold</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w:t>
            </w: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w:t>
            </w: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expenses and other</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972</w:t>
            </w: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833</w:t>
            </w: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taxes</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23.7 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50.5 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5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5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7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NM - not meaningful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factors contributing to year-over-year changes in our net sales for the three months ended June 30, 2026.</w:t>
      </w:r>
    </w:p>
    <w:tbl>
      <w:tblPr>
        <w:tblW w:w="6225" w:type="dxa"/>
        <w:jc w:val="left"/>
        <w:tblInd w:w="0" w:type="dxa"/>
        <w:tblLayout w:type="fixed"/>
        <w:tblCellMar>
          <w:top w:w="28" w:type="dxa"/>
          <w:left w:w="28" w:type="dxa"/>
          <w:bottom w:w="28" w:type="dxa"/>
          <w:right w:w="28" w:type="dxa"/>
        </w:tblCellMar>
      </w:tblPr>
      <w:tblGrid>
        <w:gridCol w:w="1188"/>
        <w:gridCol w:w="1046"/>
        <w:gridCol w:w="1051"/>
        <w:gridCol w:w="566"/>
        <w:gridCol w:w="566"/>
        <w:gridCol w:w="1808"/>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net sales from prior period</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1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8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discussion of Net sales by reportable segment can be found under the “Segment Results” section within this “Management’s Discussion and Analysis of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sales increased by $115 million or 11% primarily due to volume growth of $58 million and favorable pricing of $31 million in the RAS segment, as well as volume growth of $14 million and favorable pricing of $6 million in the ESM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Cost of product and services sold increased by $107 million or 16% primarily driven by volume increases and inflation in raw materials in the RAS segment.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$2 million or 11% driven by continued investment in innovation across the portfolio of offerings such as Spectra Y and next-generation molecules; Selling, general and administrative expenses increased by $18 million or 17% driven by an increase in employee-related expenses, primarily in connection with additional headcount necessary to operate as an independent public company; Transaction-related costs decreased by $6 million or 18% driven by a decrease in professional advisory services fees incurred after the Spin-off, partially offset by expenses incurred in connection with potential strategic transactions; Other expense (income) had a favorable change of $4 million driven primarily by lower foreign currency losses in the current period compared to the prior period; and Interest and other financial charges increased by $22 million driven by the issuance of debt in connection with the Spin-off in the second half of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$59 million. The effective tax rate in 2026 was lower than the effective tax rate in 2025 as a result of nondeductible transaction costs and incremental frictional tax costs related to the Spin-off from Honeywell in the prior-year period. See Note 5 – Income Taxes of the Notes to the Consolidated Financial Statements for additional information on the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six months ended June 30, 2026 compared with the six months ended June 30, 2025</w:t>
      </w:r>
    </w:p>
    <w:tbl>
      <w:tblPr>
        <w:tblW w:w="10205" w:type="dxa"/>
        <w:jc w:val="left"/>
        <w:tblInd w:w="0" w:type="dxa"/>
        <w:tblLayout w:type="fixed"/>
        <w:tblCellMar>
          <w:top w:w="28" w:type="dxa"/>
          <w:left w:w="28" w:type="dxa"/>
          <w:bottom w:w="28" w:type="dxa"/>
          <w:right w:w="28" w:type="dxa"/>
        </w:tblCellMar>
      </w:tblPr>
      <w:tblGrid>
        <w:gridCol w:w="1380"/>
        <w:gridCol w:w="704"/>
        <w:gridCol w:w="709"/>
        <w:gridCol w:w="215"/>
        <w:gridCol w:w="643"/>
        <w:gridCol w:w="276"/>
        <w:gridCol w:w="111"/>
        <w:gridCol w:w="111"/>
        <w:gridCol w:w="111"/>
        <w:gridCol w:w="215"/>
        <w:gridCol w:w="643"/>
        <w:gridCol w:w="276"/>
        <w:gridCol w:w="109"/>
        <w:gridCol w:w="109"/>
        <w:gridCol w:w="109"/>
        <w:gridCol w:w="109"/>
        <w:gridCol w:w="355"/>
        <w:gridCol w:w="207"/>
        <w:gridCol w:w="544"/>
        <w:gridCol w:w="196"/>
        <w:gridCol w:w="196"/>
        <w:gridCol w:w="196"/>
        <w:gridCol w:w="355"/>
        <w:gridCol w:w="207"/>
        <w:gridCol w:w="544"/>
        <w:gridCol w:w="109"/>
        <w:gridCol w:w="109"/>
        <w:gridCol w:w="109"/>
        <w:gridCol w:w="287"/>
        <w:gridCol w:w="226"/>
        <w:gridCol w:w="735"/>
      </w:tblGrid>
      <w:tr>
        <w:trPr/>
        <w:tc>
          <w:tcPr>
            <w:tcW w:w="138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 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2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millions)</w:t>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2,139</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1,930</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expenses and other</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products and services sold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687</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expenses and other</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1,827</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1,543</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taxes</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23.5 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5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5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7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factors contributing to year-over-year changes in our net sales for the six months ended June 30, 2026.</w:t>
      </w:r>
    </w:p>
    <w:tbl>
      <w:tblPr>
        <w:tblW w:w="6029" w:type="dxa"/>
        <w:jc w:val="left"/>
        <w:tblInd w:w="0" w:type="dxa"/>
        <w:tblLayout w:type="fixed"/>
        <w:tblCellMar>
          <w:top w:w="28" w:type="dxa"/>
          <w:left w:w="28" w:type="dxa"/>
          <w:bottom w:w="28" w:type="dxa"/>
          <w:right w:w="28" w:type="dxa"/>
        </w:tblCellMar>
      </w:tblPr>
      <w:tblGrid>
        <w:gridCol w:w="1188"/>
        <w:gridCol w:w="1046"/>
        <w:gridCol w:w="1051"/>
        <w:gridCol w:w="528"/>
        <w:gridCol w:w="528"/>
        <w:gridCol w:w="1688"/>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net sales from prior period</w:t>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0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16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discussion of Net sales by reportable segment can be found under the “Segment Results” section within this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sales increased by $209 million or 11% primarily due to volume growth of $95 million, favorable pricing of $52 million and favorable foreign currency impacts of $22 million in the RAS segment, as well as volume growth of $26 million, favorable foreign currency impacts of $9 million and favorable pricing of $6 million in the ESM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Cost of product and services sold increased by $205 million or 16% primarily driven by volume increases and inflation in raw materials in both the RAS and ESM segments.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$8 million or 18% driven by continued investment in innovation across the portfolio of offerings such as Spectra Y and next-generation molecules; Selling, general and administrative expenses increased by $32 million or 16% driven by an increase in employee-related expenses, primarily in connection with additional headcount necessary to operate as an independent public company; Transaction-related costs decreased by $11 million or 18% driven by a decrease in professional advisory services fees incurred after the Spin-off, partially offset by expenses incurred in connection with potential strategic transactions; Other expense (income) remained relatively flat; and Interest and other financial charges increased by $50 million driven by the issuance of debt in connection with the Spin-off in the second half of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$75 million. The effective tax rate in 2026 was lower than the effective tax rate in 2025 as a result of nondeductible transaction costs and incremental frictional tax costs related to the Spin-off from Honeywell in the prior-year period. See Note 5 – Income Taxes of the Notes to the Consolidated Financial Statements for additional information on the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manage and report our operating results through two reportable segments: Refrigerants &amp; Applied Solutions (RAS) and Electronic &amp; Specialty Materials (ESM). The remainder of our operations are presented in Corporate and All Other, which is not a reportable business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is the primary measure of segment profitability used by our Chief Operating Decision Maker. We define Segment Adjusted EBITDA as segment net income excluding income taxes, general corporate unallocated expense, depreciation, amortization, interest and other financial charges, remeasurement of foreign currencies, stock-based compensation expense, nonoperating pension expense (income), transaction-related costs, repositioning charges, asset retirement obligations accretion, asset impairment charges, litigation costs and insurance settlements (net of recoveries), gains and losses on disposal of assets, and certain other items that are otherwise of an unusual or non-recurring nature.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Refrigerants &amp; Applied Solutions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net sales for our RAS segment for the three months ended June 30, 2026 and 2025.</w:t>
      </w:r>
    </w:p>
    <w:p>
      <w:pPr>
        <w:pStyle w:val="TextBody"/>
        <w:bidi w:val="0"/>
        <w:spacing w:before="0" w:after="180"/>
        <w:jc w:val="center"/>
        <w:rPr/>
      </w:pPr>
      <w:r>
        <w:rPr/>
        <w:drawing>
          <wp:inline distT="0" distB="0" distL="0" distR="0">
            <wp:extent cx="5838825" cy="3619500"/>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3"/>
                    <a:stretch>
                      <a:fillRect/>
                    </a:stretch>
                  </pic:blipFill>
                  <pic:spPr bwMode="auto">
                    <a:xfrm>
                      <a:off x="0" y="0"/>
                      <a:ext cx="5838825" cy="36195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net sales for our RAS segment for the six months ended June 30, 2026 and 2025.</w:t>
      </w:r>
    </w:p>
    <w:p>
      <w:pPr>
        <w:pStyle w:val="TextBody"/>
        <w:bidi w:val="0"/>
        <w:spacing w:before="0" w:after="180"/>
        <w:jc w:val="center"/>
        <w:rPr/>
      </w:pPr>
      <w:r>
        <w:rPr/>
        <w:drawing>
          <wp:inline distT="0" distB="0" distL="0" distR="0">
            <wp:extent cx="5838825" cy="3619500"/>
            <wp:effectExtent l="0" t="0" r="0" b="0"/>
            <wp:docPr id="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 descr=""/>
                    <pic:cNvPicPr>
                      <a:picLocks noChangeAspect="1" noChangeArrowheads="1"/>
                    </pic:cNvPicPr>
                  </pic:nvPicPr>
                  <pic:blipFill>
                    <a:blip r:embed="rId4"/>
                    <a:stretch>
                      <a:fillRect/>
                    </a:stretch>
                  </pic:blipFill>
                  <pic:spPr bwMode="auto">
                    <a:xfrm>
                      <a:off x="0" y="0"/>
                      <a:ext cx="5838825" cy="3619500"/>
                    </a:xfrm>
                    <a:prstGeom prst="rect">
                      <a:avLst/>
                    </a:prstGeom>
                  </pic:spPr>
                </pic:pic>
              </a:graphicData>
            </a:graphic>
          </wp:inline>
        </w:drawing>
      </w:r>
      <w:bookmarkStart w:id="2" w:name="i-3"/>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net sales, Segment Adjusted EBITDA, and Segment Adjusted EBITDA margin amounts for our RAS segment for the three and six months ended June 30, 2026 and 2025.</w:t>
      </w:r>
    </w:p>
    <w:tbl>
      <w:tblPr>
        <w:tblW w:w="8927" w:type="dxa"/>
        <w:jc w:val="left"/>
        <w:tblInd w:w="0" w:type="dxa"/>
        <w:tblLayout w:type="fixed"/>
        <w:tblCellMar>
          <w:top w:w="28" w:type="dxa"/>
          <w:left w:w="28" w:type="dxa"/>
          <w:bottom w:w="28" w:type="dxa"/>
          <w:right w:w="28" w:type="dxa"/>
        </w:tblCellMar>
      </w:tblPr>
      <w:tblGrid>
        <w:gridCol w:w="1073"/>
        <w:gridCol w:w="944"/>
        <w:gridCol w:w="952"/>
        <w:gridCol w:w="274"/>
        <w:gridCol w:w="607"/>
        <w:gridCol w:w="353"/>
        <w:gridCol w:w="141"/>
        <w:gridCol w:w="141"/>
        <w:gridCol w:w="141"/>
        <w:gridCol w:w="274"/>
        <w:gridCol w:w="607"/>
        <w:gridCol w:w="353"/>
        <w:gridCol w:w="109"/>
        <w:gridCol w:w="109"/>
        <w:gridCol w:w="109"/>
        <w:gridCol w:w="225"/>
        <w:gridCol w:w="658"/>
        <w:gridCol w:w="289"/>
        <w:gridCol w:w="116"/>
        <w:gridCol w:w="116"/>
        <w:gridCol w:w="116"/>
        <w:gridCol w:w="225"/>
        <w:gridCol w:w="658"/>
        <w:gridCol w:w="337"/>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reported and organic net sales growth in our RAS segment’s net sales for the three and six months ended June 30, 2026 compared with the prior year periods.</w:t>
      </w:r>
    </w:p>
    <w:tbl>
      <w:tblPr>
        <w:tblW w:w="9310" w:type="dxa"/>
        <w:jc w:val="left"/>
        <w:tblInd w:w="0" w:type="dxa"/>
        <w:tblLayout w:type="fixed"/>
        <w:tblCellMar>
          <w:top w:w="28" w:type="dxa"/>
          <w:left w:w="28" w:type="dxa"/>
          <w:bottom w:w="28" w:type="dxa"/>
          <w:right w:w="28" w:type="dxa"/>
        </w:tblCellMar>
      </w:tblPr>
      <w:tblGrid>
        <w:gridCol w:w="1211"/>
        <w:gridCol w:w="1065"/>
        <w:gridCol w:w="1068"/>
        <w:gridCol w:w="605"/>
        <w:gridCol w:w="605"/>
        <w:gridCol w:w="1685"/>
        <w:gridCol w:w="109"/>
        <w:gridCol w:w="109"/>
        <w:gridCol w:w="109"/>
        <w:gridCol w:w="528"/>
        <w:gridCol w:w="528"/>
        <w:gridCol w:w="1688"/>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divestitures and other, net</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Organic sales percentage</w:t>
            </w:r>
            <w:r>
              <w:rPr>
                <w:rFonts w:ascii="Times New Roman;serif" w:hAnsi="Times New Roman;serif"/>
                <w:b/>
                <w:color w:val="000000"/>
                <w:sz w:val="13"/>
              </w:rPr>
              <w:t>(1)</w:t>
            </w:r>
          </w:p>
        </w:tc>
        <w:tc>
          <w:tcPr>
            <w:tcW w:w="12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16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6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(1) See “Management’s Discussion and Analysis of Financial Condition and Results of Operations—Non-GAAP Financial Measures” for definition of Organic sales percentage.</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three months ended June 30, 2026 compared with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RAS net sales increased by $94 million or 13% primarily driven by volume growth of $58 million, mainly as a result of the ongoing transition to LGWP refrigerants and volume increases in nuclear. Favorable pricing of $31 million also contributed to the increase, primarily driven by higher pricing in the stationary end market.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decreased by $18 million or 6% and Segment Adjusted EBITDA margin decreased 6% primarily driven by timing of current year plant turnaround activity and production incentive credits in the prior year. These decreases were partially offset by volume growth and favorable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six months ended June 30, 2026 compared with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RAS net sales increased by $169 million or 12% primarily driven by volume growth of $95 million, mainly as a result of the ongoing transition to LGWP refrigerants and volume increases in nuclear. Favorable pricing of $52 million, primarily driven by higher pricing in the stationary end market, and favorable currency translation impacts on net sales of $22 million also contributed to the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decreased by $26 million or 5% and Segment Adjusted EBITDA margin decreased 6% primarily driven by inflation of raw material costs and higher R&amp;D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Electronic &amp; Specialty Materials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net sales for our ESM segment for the three months ended June 30, 2026 and 2025.</w:t>
      </w:r>
    </w:p>
    <w:p>
      <w:pPr>
        <w:pStyle w:val="TextBody"/>
        <w:bidi w:val="0"/>
        <w:spacing w:before="0" w:after="180"/>
        <w:jc w:val="center"/>
        <w:rPr/>
      </w:pPr>
      <w:r>
        <w:rPr/>
        <w:drawing>
          <wp:inline distT="0" distB="0" distL="0" distR="0">
            <wp:extent cx="5838825" cy="3619500"/>
            <wp:effectExtent l="0" t="0" r="0" b="0"/>
            <wp:docPr id="4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 descr=""/>
                    <pic:cNvPicPr>
                      <a:picLocks noChangeAspect="1" noChangeArrowheads="1"/>
                    </pic:cNvPicPr>
                  </pic:nvPicPr>
                  <pic:blipFill>
                    <a:blip r:embed="rId5"/>
                    <a:stretch>
                      <a:fillRect/>
                    </a:stretch>
                  </pic:blipFill>
                  <pic:spPr bwMode="auto">
                    <a:xfrm>
                      <a:off x="0" y="0"/>
                      <a:ext cx="5838825" cy="3619500"/>
                    </a:xfrm>
                    <a:prstGeom prst="rect">
                      <a:avLst/>
                    </a:prstGeom>
                  </pic:spPr>
                </pic:pic>
              </a:graphicData>
            </a:graphic>
          </wp:inline>
        </w:drawing>
      </w:r>
      <w:bookmarkStart w:id="3" w:name="i-4"/>
      <w:bookmarkEnd w:id="3"/>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net sales for our ESM segment for the six months ended June 30, 2026 and 2025.</w:t>
      </w:r>
    </w:p>
    <w:p>
      <w:pPr>
        <w:pStyle w:val="TextBody"/>
        <w:bidi w:val="0"/>
        <w:spacing w:before="0" w:after="180"/>
        <w:jc w:val="center"/>
        <w:rPr/>
      </w:pPr>
      <w:r>
        <w:rPr/>
        <w:drawing>
          <wp:inline distT="0" distB="0" distL="0" distR="0">
            <wp:extent cx="5838825" cy="3619500"/>
            <wp:effectExtent l="0" t="0" r="0" b="0"/>
            <wp:docPr id="4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5" descr=""/>
                    <pic:cNvPicPr>
                      <a:picLocks noChangeAspect="1" noChangeArrowheads="1"/>
                    </pic:cNvPicPr>
                  </pic:nvPicPr>
                  <pic:blipFill>
                    <a:blip r:embed="rId6"/>
                    <a:stretch>
                      <a:fillRect/>
                    </a:stretch>
                  </pic:blipFill>
                  <pic:spPr bwMode="auto">
                    <a:xfrm>
                      <a:off x="0" y="0"/>
                      <a:ext cx="5838825" cy="3619500"/>
                    </a:xfrm>
                    <a:prstGeom prst="rect">
                      <a:avLst/>
                    </a:prstGeom>
                  </pic:spPr>
                </pic:pic>
              </a:graphicData>
            </a:graphic>
          </wp:inline>
        </w:drawing>
      </w:r>
      <w:bookmarkStart w:id="4" w:name="i-5"/>
      <w:bookmarkEnd w:id="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net sales, Segment Adjusted EBITDA, and Segment Adjusted EBITDA margin amounts for our ESM segment for the three and six months ended June 30, 2026 and 2025.</w:t>
      </w:r>
    </w:p>
    <w:tbl>
      <w:tblPr>
        <w:tblW w:w="8928" w:type="dxa"/>
        <w:jc w:val="left"/>
        <w:tblInd w:w="0" w:type="dxa"/>
        <w:tblLayout w:type="fixed"/>
        <w:tblCellMar>
          <w:top w:w="28" w:type="dxa"/>
          <w:left w:w="28" w:type="dxa"/>
          <w:bottom w:w="28" w:type="dxa"/>
          <w:right w:w="28" w:type="dxa"/>
        </w:tblCellMar>
      </w:tblPr>
      <w:tblGrid>
        <w:gridCol w:w="1073"/>
        <w:gridCol w:w="944"/>
        <w:gridCol w:w="952"/>
        <w:gridCol w:w="274"/>
        <w:gridCol w:w="607"/>
        <w:gridCol w:w="353"/>
        <w:gridCol w:w="141"/>
        <w:gridCol w:w="141"/>
        <w:gridCol w:w="141"/>
        <w:gridCol w:w="274"/>
        <w:gridCol w:w="607"/>
        <w:gridCol w:w="353"/>
        <w:gridCol w:w="109"/>
        <w:gridCol w:w="109"/>
        <w:gridCol w:w="109"/>
        <w:gridCol w:w="255"/>
        <w:gridCol w:w="564"/>
        <w:gridCol w:w="328"/>
        <w:gridCol w:w="131"/>
        <w:gridCol w:w="131"/>
        <w:gridCol w:w="131"/>
        <w:gridCol w:w="255"/>
        <w:gridCol w:w="564"/>
        <w:gridCol w:w="382"/>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reported and organic net sales growth in our ESM segment’s net sales for the three and six months ended June 30, 2026 compared with the prior year periods.</w:t>
      </w:r>
    </w:p>
    <w:tbl>
      <w:tblPr>
        <w:tblW w:w="9310" w:type="dxa"/>
        <w:jc w:val="left"/>
        <w:tblInd w:w="0" w:type="dxa"/>
        <w:tblLayout w:type="fixed"/>
        <w:tblCellMar>
          <w:top w:w="28" w:type="dxa"/>
          <w:left w:w="28" w:type="dxa"/>
          <w:bottom w:w="28" w:type="dxa"/>
          <w:right w:w="28" w:type="dxa"/>
        </w:tblCellMar>
      </w:tblPr>
      <w:tblGrid>
        <w:gridCol w:w="1211"/>
        <w:gridCol w:w="1065"/>
        <w:gridCol w:w="1068"/>
        <w:gridCol w:w="605"/>
        <w:gridCol w:w="605"/>
        <w:gridCol w:w="1685"/>
        <w:gridCol w:w="109"/>
        <w:gridCol w:w="109"/>
        <w:gridCol w:w="109"/>
        <w:gridCol w:w="528"/>
        <w:gridCol w:w="528"/>
        <w:gridCol w:w="1688"/>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divestitures and other, net</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Organic sales percentage</w:t>
            </w:r>
            <w:r>
              <w:rPr>
                <w:rFonts w:ascii="Times New Roman;serif" w:hAnsi="Times New Roman;serif"/>
                <w:b/>
                <w:color w:val="000000"/>
                <w:sz w:val="13"/>
              </w:rPr>
              <w:t>(1)</w:t>
            </w:r>
          </w:p>
        </w:tc>
        <w:tc>
          <w:tcPr>
            <w:tcW w:w="12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6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6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180"/>
        <w:jc w:val="both"/>
        <w:rPr/>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See “Management’s Discussion and Analysis of Financial Condition and Results of Operations—Non-GAAP Financial Measures” for definition of Organic sales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three months ended June 30, 2026 compared with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ESM net sales increased by $21 million or 8%. The increase was primarily driven by volume growth of $14 million, mainly due to volume increases in electronic materials related to stronger memory demand in the semiconductor end market. Favorable pricing of $6 million also contributed to the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increased by $12 million or 24% and Segment Adjusted EBITDA margin increased 3% primarily driven by volume growth in Electronic Materials and productivity.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six months ended June 30, 2026 compared with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ESM net sales increased by $41 million or 8%. The increase was primarily driven by volume growth of $26 million, mainly due to volume increases in electronic materials related to stronger memory demand in the semiconductor end market. Favorable currency translation impacts on net sales of $9 million and favorable pricing of $6 million also contributed to the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increased by $18 million or 17% and Segment Adjusted EBITDA margin increased 2% primarily driven by volume growth in Electronic Materials, improved pricing, and productivity.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Corporate and All Other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Corporate and All Other costs increased by $8 million or 18% and $28 million or 36% for the three and six months ended June 30, 2026 compared to the prior year periods, respectively, due to an increase in selling, general and administrative expenses, primarily due to higher employee-related expenses as a result of additional headcount necessary to operate as an independent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non-GAAP financial measures to supplement the financial measures prepared in accordance with U.S. GAAP. These include (1) Organic sales percentage, (2) Adjusted EBITDA and (3) Adjusted EBITDA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meaningful measure of its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pStyle w:val="TextBody"/>
        <w:bidi w:val="0"/>
        <w:spacing w:lineRule="auto" w:line="288" w:before="0" w:after="180"/>
        <w:jc w:val="both"/>
        <w:rPr/>
      </w:pPr>
      <w:r>
        <w:rPr>
          <w:rFonts w:ascii="Times New Roman;serif" w:hAnsi="Times New Roman;serif"/>
          <w:b/>
          <w:color w:val="000000"/>
          <w:sz w:val="20"/>
        </w:rPr>
        <w:t>Organic sales percentage</w:t>
      </w:r>
      <w:r>
        <w:rPr>
          <w:rFonts w:ascii="Times New Roman;serif" w:hAnsi="Times New Roman;serif"/>
          <w:b w:val="false"/>
          <w:color w:val="000000"/>
          <w:sz w:val="20"/>
        </w:rPr>
        <w:t>: The Company defines organic sales percentage as the year-over-year change in reported sales relative to the comparable period, excluding the impact on sales from foreign currency translation and acquisitions, net of divestitures, for the first 12 months following the transaction date. We believe this measure is useful to investors and management in understanding our ongoing operations and in analysis of ongoing operating trends.</w:t>
      </w:r>
    </w:p>
    <w:tbl>
      <w:tblPr>
        <w:tblW w:w="9310" w:type="dxa"/>
        <w:jc w:val="left"/>
        <w:tblInd w:w="0" w:type="dxa"/>
        <w:tblLayout w:type="fixed"/>
        <w:tblCellMar>
          <w:top w:w="28" w:type="dxa"/>
          <w:left w:w="28" w:type="dxa"/>
          <w:bottom w:w="28" w:type="dxa"/>
          <w:right w:w="28" w:type="dxa"/>
        </w:tblCellMar>
      </w:tblPr>
      <w:tblGrid>
        <w:gridCol w:w="1211"/>
        <w:gridCol w:w="1065"/>
        <w:gridCol w:w="1068"/>
        <w:gridCol w:w="605"/>
        <w:gridCol w:w="605"/>
        <w:gridCol w:w="1685"/>
        <w:gridCol w:w="109"/>
        <w:gridCol w:w="109"/>
        <w:gridCol w:w="109"/>
        <w:gridCol w:w="528"/>
        <w:gridCol w:w="528"/>
        <w:gridCol w:w="1688"/>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divestitures and other, net</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sales percentage</w:t>
            </w:r>
          </w:p>
        </w:tc>
        <w:tc>
          <w:tcPr>
            <w:tcW w:w="12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6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16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color w:val="000000"/>
          <w:sz w:val="20"/>
        </w:rPr>
        <w:t>Adjusted EBITDA and Adjusted EBITDA margin</w:t>
      </w:r>
      <w:r>
        <w:rPr>
          <w:rFonts w:ascii="Times New Roman;serif" w:hAnsi="Times New Roman;serif"/>
          <w:b w:val="false"/>
          <w:color w:val="000000"/>
          <w:sz w:val="20"/>
        </w:rPr>
        <w:t>: The Company defines Adjusted EBITDA as net income excluding income taxes, depreciation, amortization, interest and other financial charges, remeasurement of foreign currencies, stock-based compensation expense, nonoperating pension expense (income), transaction-related costs, repositioning charges, asset retirement obligations accretion, asset impairment charges, litigation costs and insurance settlements (net of recoveries), gains and losses on disposal of assets, and certain other items that are otherwise of an unusual or non-recurring nature. The Company defines Adjusted EBITDA margin as Adjusted EBITDA divided by Net sales. We believe these measures are useful to investors as they provide greater transparency with respect to supplemental information used by management in its financial and operational decision making, as well as understanding ongoing operating trends. The table below reconciles Net income, the most directly comparable U.S. GAAP measure, to the Company’s non-GAAP measure of Adjusted EBITDA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626"/>
        <w:gridCol w:w="1172"/>
        <w:gridCol w:w="1181"/>
        <w:gridCol w:w="211"/>
        <w:gridCol w:w="631"/>
        <w:gridCol w:w="271"/>
        <w:gridCol w:w="109"/>
        <w:gridCol w:w="109"/>
        <w:gridCol w:w="109"/>
        <w:gridCol w:w="317"/>
        <w:gridCol w:w="309"/>
        <w:gridCol w:w="857"/>
        <w:gridCol w:w="109"/>
        <w:gridCol w:w="109"/>
        <w:gridCol w:w="109"/>
        <w:gridCol w:w="211"/>
        <w:gridCol w:w="631"/>
        <w:gridCol w:w="271"/>
        <w:gridCol w:w="109"/>
        <w:gridCol w:w="109"/>
        <w:gridCol w:w="109"/>
        <w:gridCol w:w="306"/>
        <w:gridCol w:w="292"/>
        <w:gridCol w:w="938"/>
      </w:tblGrid>
      <w:tr>
        <w:trPr/>
        <w:tc>
          <w:tcPr>
            <w:tcW w:w="16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3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(Non-GAAP)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25.3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29.5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adjustments primarily consisted of gains and losses from disposal of long-lived assets, remeasurement of foreign currencies, environmental reserves, asset retirement obligations, nonoperating pension expense (income), and certain legal costs, net of recoveries.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626"/>
        <w:gridCol w:w="1172"/>
        <w:gridCol w:w="1181"/>
        <w:gridCol w:w="211"/>
        <w:gridCol w:w="631"/>
        <w:gridCol w:w="271"/>
        <w:gridCol w:w="109"/>
        <w:gridCol w:w="109"/>
        <w:gridCol w:w="109"/>
        <w:gridCol w:w="317"/>
        <w:gridCol w:w="309"/>
        <w:gridCol w:w="857"/>
        <w:gridCol w:w="109"/>
        <w:gridCol w:w="109"/>
        <w:gridCol w:w="109"/>
        <w:gridCol w:w="211"/>
        <w:gridCol w:w="631"/>
        <w:gridCol w:w="271"/>
        <w:gridCol w:w="109"/>
        <w:gridCol w:w="109"/>
        <w:gridCol w:w="109"/>
        <w:gridCol w:w="306"/>
        <w:gridCol w:w="292"/>
        <w:gridCol w:w="938"/>
      </w:tblGrid>
      <w:tr>
        <w:trPr/>
        <w:tc>
          <w:tcPr>
            <w:tcW w:w="16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adjustments</w:t>
            </w:r>
            <w:r>
              <w:rPr>
                <w:rFonts w:ascii="Times New Roman;serif" w:hAnsi="Times New Roman;serif"/>
                <w:b/>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w:t>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(Non-GAAP)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25.2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29.8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adjustments primarily consisted of gains and losses from disposal of long-lived assets, remeasurement of foreign currencies, environmental reserves, asset retirement obligations, nonoperating pension expense (income), and certain legal costs, net of recoveries.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been generating positive cash flows from operations. Prior to the consummation of the Spin-off, the Company was dependent upon Honeywell for all of its working capital and financing requirements. A substantial portion of the Company’s cash accounts were cleared to Honeywell regularly at Honeywell’s discretion, and Honeywell funded the Company’s operating and investing activities as needed. Transfers of cash between Honeywell and the Company were included within Net transfers to Parent on the accompanying financial statements through the Spin-off date. These arrangements ceased in conjunction with the Spin-off.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Spin-off, we entered into certain third-party debt arrangements, as described below, and as of October 30, 2025, we no longer participate in Honeywell’s centralized cash management program. Our liquidity after the Spin-off depends on our operating cash flows, available cash balances, access to our credit facilities and our ability to access capital markets. We believe that our existing cash and cash equivalents, combined with our expected operating cash flows and available credit facilities (as discussed below) will be sufficient to meet our anticipated cash needs for at least the next 12 months. We expect to incur additional debt in connection with the Transactions, as described below.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Financing Relating to the Proposed Acquisition of Element Solutions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entering into the Merger Agreement, the Company entered into a commitment letter (the “Commitment Letter”), dated as of July 6, 2026, with Goldman Sachs Bank USA and Goldman Sachs Lending Partners LLC (together, the “Commitment Parties”), pursuant to which, among other things, the Commitment Parties agreed to provide a first lien senior secured 364-day bridge term loan credit facility in an aggregate principal amount of up to $4.685 billion (the “Bridge Facility”). The Bridge Facility has been syndicated to a group of lenders consisting of a majority of the Company’s existing lenders under the Revolving Credit Facility. The Commitment Letter also provides for a $1.0 billion backstop senior secured revolving credit facility (the “Backstop Revolving Facility” and together with the Bridge Facility, the “Facilities”), which will only be established in the event that a proposed amendment to the Company’s Credit Agreement to permit the Bridge Facility does not become effective on or prior to the closing of the Transactions. On July 24, 2026, the Company entered into an amendment to the Credit Agreement to allow, among other things, for the provision of $4.685 billion in bridge financing to the Company and certain other transactions in connection with the Merger Agreement. As a result, the Backstop Revolving Facility will not be established.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Bridge Commitment Letter also contemplates that the Company will seek to obtain permanent financing in the form of a senior secured term loan B facility and unsecured notes in public or private offering(s) prior to the closing of the Transactions (collectively, the “Permanent Financing”). The Bridge Facility is intended to be available to the Company to finance, together with other sources of funds, the acquisition, the refinancing of certain existing indebtedness of Element Solutions and related fees and expenses in connection with the Transactions, in the event that the Company has not obtained the Permanent Financing on or prior to the closing of the Transactions. Commitments under the Bridge Facility will be reduced by the amount of any Permanent Financing as well as certain other events. The receipt of financing by the Company is not a condition to the Company’s obligation to consummate the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Facilities are subject to customary conditions precedent to funding, including the consummation of the Transactions in all material respects in accordance with the terms of the Merger Agreement and other customary funding conditions for facilities of this type, and contain customary representations, warranties, covenants and indemnification provisions for transactions of this nature.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17, 2026, the Company announced that the Board of Directors declared a quarterly dividend of $0.075 per share of common stock outstanding, payable on September 10, 2026, to shareowners of record as of August 27, 2026. The Company currently expects to continue returning cash to shareowners through quarterly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payment of dividends remains subject to determination and declaration by the Board of Directors and there can be no assurance that the Company will continue to pay any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30, 2025, the Company issued $1.0 billion of 5.625% Senior Notes (the “Notes”) due September 30, 2033. The Notes were sold in private placements to qualified institutional buyers in accordance with Rule 144A under the Securities Act of 1933, as amended (the “Securities Act”), and outside the United States to non-U.S. persons in reliance on Regulation S under the Securities Act.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29, 2025, the Company entered into a credit agreement (as amended, the “Credit Agreement”), which provides for (i) a seven-year senior secured first-lien term B loan facility in an aggregate principal amount of $1.0 billion (the “Term Loan Facility”) and (ii) a five-year senior secured first-lien revolving credit facility with aggregate commitments of $1.0 billion (the “Revolving Credit Facility” and, together with the Term Loan Facility, the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entered into uncommitted bilateral letter of credit agreements, which provide for uncommitted bilateral letter of credit facilities in an aggregate uncommitted amount of $750 million (the “Sidecar LC Facilities”, and together with the Credit Facilities, the “Senior Credit Facilities”). The Sidecar LC Facilities provide for maintenance fees which accrue per annum on the aggregate amount of any letter of credit outstanding thereunder, payable quarterly, and fees which range from 0.60% to 0.95%, depending on the issuer and the type of letter of credit.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voluntarily prepay borrowings under the Credit Agreement without premium or penalty, subject to customary “breakage” costs with respect to SOFR loans. The Company may also reduce the commitments under the Revolving Credit Facility, in whole or in part, in each case, subject to certain minimum amounts and increments.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outstanding borrowings under the Revolving Credit Facility, the interest rate on the Term Loan Facility was 5.41%, and there were $276 million of unused letters of credit issued under the Sidecar LC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certain affirmative and negative covenants customary for financings of this type. In addition, the Credit Agreement also contains financial covenants for the benefit of the lenders under the Revolving Credit Facility requiring the maintenance of certain financial ratios (as set forth in the Credit Agreement). As of June 30, 2026, the Company was in compliance with all of the financial covenants required by the Credit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2026, the Company entered into an amendment to the Credit Agreement to allow, among other things, for the provision of $4.685 billion in bridge financing to the Company and certain other transactions in connection with the Merger Agreement.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Note 8 – Debt of the Notes to the Consolidated Financial Statements for additional information regarding our debt obligations.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Summarized cash flow information for the six months ended June 30, 2026 and 2025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both"/>
        <w:rPr/>
      </w:pPr>
      <w:r>
        <w:rPr/>
      </w:r>
    </w:p>
    <w:tbl>
      <w:tblPr>
        <w:tblW w:w="6204" w:type="dxa"/>
        <w:jc w:val="left"/>
        <w:tblInd w:w="0" w:type="dxa"/>
        <w:tblLayout w:type="fixed"/>
        <w:tblCellMar>
          <w:top w:w="28" w:type="dxa"/>
          <w:left w:w="28" w:type="dxa"/>
          <w:bottom w:w="28" w:type="dxa"/>
          <w:right w:w="28" w:type="dxa"/>
        </w:tblCellMar>
      </w:tblPr>
      <w:tblGrid>
        <w:gridCol w:w="1257"/>
        <w:gridCol w:w="1102"/>
        <w:gridCol w:w="1106"/>
        <w:gridCol w:w="276"/>
        <w:gridCol w:w="709"/>
        <w:gridCol w:w="142"/>
        <w:gridCol w:w="142"/>
        <w:gridCol w:w="142"/>
        <w:gridCol w:w="142"/>
        <w:gridCol w:w="276"/>
        <w:gridCol w:w="709"/>
        <w:gridCol w:w="201"/>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jc w:val="both"/>
        <w:rPr/>
      </w:pPr>
      <w:r>
        <w:rPr>
          <w:rFonts w:ascii="Times New Roman;serif" w:hAnsi="Times New Roman;serif"/>
          <w:b w:val="false"/>
          <w:color w:val="000000"/>
          <w:sz w:val="20"/>
        </w:rPr>
        <w:t>Net cash provided by operating activities was</w:t>
      </w:r>
      <w:r>
        <w:rPr>
          <w:color w:val="EE2724"/>
        </w:rPr>
        <w:t xml:space="preserve"> </w:t>
      </w:r>
      <w:r>
        <w:rPr>
          <w:rFonts w:ascii="Times New Roman;serif" w:hAnsi="Times New Roman;serif"/>
          <w:b w:val="false"/>
          <w:color w:val="000000"/>
          <w:sz w:val="20"/>
        </w:rPr>
        <w:t>$461 million for the six months ended June 30, 2026 compared to $310 million in the prior-year period. The increase was due to greater working capital inflow, primarily driven by inventory reduction, primarily in the RAS segment.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was $215 million for the six months ended June 30, 2026 compared to $118 million in the prior-year period. The increase was driven by higher capital expenditures, primarily from the expansion of manufacturing facilities within our ESM segment, and the impact in the prior year of proceeds from the sale of certain assets.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for financing activities was $31 million for the six months ended June 30, 2026 compared to $12 million in the prior-year period. The increase was driven by dividend payments to shareowners of $24 million, partially offset by the absence of net transfers to Honeywell in the current period compared to the prior-year period.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Cash and Cash Requirements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Summary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cash and cash equivalents totaled $750 million and $534 million, respectively. We believe that we have sufficient liquidity based on our current cash position, expected operating cash flows and availability under our Credit Facilities to meet our expected payments related to our cash requirements for at least the next 12 months.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 Held by Foreign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held by Solstice Advanced Materials’ foreign subsidiaries were $485 million and $363 million as of June 30, 2026 and December 31, 2025,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capital expenditures primarily consist of continuing investments to maintain the safety and reliability of our existing operations, additional investments in new and existing facilities to support new production introduction and capacity expansion to grow our business. For the six months ended June 30, 2026 and 2025, our capital expenditures incurred were $186 million and $138 million, respectively. The increase was primarily driven by projects to support new products and solutions for our electronic materials and advanced fiber offerings. For the year ending December 31, 2026, we expect that our capital expenditures will be between $420 million and $440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Support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Spin-off, Honeywell had agreed to provide us support through certain parent company performance guarantees that would remain in place during a transition period of up to 24 months and as guarantor of or obligor for certain letters of credit and other credit support instruments that were issued on our behalf during a transition period of up to 12 months. Effective the second quarter of 2026, we no longer require credit support from Honeywell for letters of credit and other credit support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Supply Chain Financing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agreements with unaffiliated third-party financial institutions that offer voluntary supply chain financing (“SCF”) programs to our suppliers. The SCF programs enable suppliers, at their sole discretion, to sell their receivables to third-party financial institutions in order to receive payment on receivables earlier than the negotiated commercial terms between us and our suppliers. We had $118 million and $98 million outstanding obligations related to our SCF programs as of June 30, 2026 and December 31, 2025,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Contractual Obligations and Off-Balance Sheet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engage in significant off-balance sheet financial arrangements that have or are likely to have a material current or future effect on our financial condition, changes in financial condition, net sales or expenses, results of operations, liquidity, capital expenditures or capital resources. There have been no material changes outside the ordinary course of business to our contractual obligations from those discussed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during the three and six months ended June 30, 2026 to the items disclosed as critical accounting estimates in Part II. Item 7. “Management’s Discussion and Analysis of Financial Condition and Results of Operations” in our 2025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and financial results are affected by fluctuations in world financial markets, including the impacts of foreign currency exchange rates and interest rate movements. We evaluate our exposure to such risks on an ongoing basis, and seek ways to manage these risks to an acceptable level, based on management’s judgment of the appropriate trade-off between risk, opportunity and cost. Market risks have not materially changed from those disclosed under Part II. Item 7A. “Quantitative and Qualitative Disclosures About Market Risk”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Solstice’s management, with the participation of our Chief Executive Officer (“CEO”) and Chief Financial Officer (“CFO”), evaluated the effectiveness of our disclosure controls and procedures (as defined in Rules 13a-15(e) or 15d-15(e) promulgated under the Securities Exchange Act of 1934, as amended (the “Exchange Act”)) as of June 30, 2026. Based upon that evaluation, our CEO and CFO concluded that our disclosure controls and procedures were effective as of June 30, 2026 to ensure information required to be disclosed in reports filed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as part of the process of replacing certain services previously provided pursuant to the Transition Service Agreement with Honeywell, we completed the migration to a new instance of our enterprise resource planning (“ERP”) system on cloud based infrastructure, replacing the prior ERP system instance which was managed by Honeywell. In connection with this transition, we will continue to monitor the impact of the implementation on our processes, procedures, and internal control over financial reporting. There have been no other changes in the Company’s internal control over financial reporting (as defined in Rules 13a-15(f) or 15d-15(f) under the Exchange Act) during the quarter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a number of lawsuits, investigations, disputes and claims (some of which involve substantial amounts) arising out of the conduct of our business, including matters relating to commercial transactions, intellectual property and environmental, health and safety matters. We recognize a liability for any contingency that is probable of occurrence and reasonably estimable. We continually assess the likelihood of adverse judgments or outcomes in these matters, as well as potential ranges of possible losses (taking into consideration any insurance recoveries), based on careful analysis of each matter with the assistance of outside legal counsel and, if applicable, other experts. See Note 14 – Commitments and Contingencies of the Notes to the Consolidated Financial Statements for a discussion of environmental and other litigation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Except as set forth below, as of the date of this Quarterly Report on Form 10-Q, there have been no material changes to our risk factors presented in our 2025 Annual Report on Form 10-K under Part I. Item 1A. “Risk Factors.” For further discussion of our risk factors, refer to Part I, Item 1A. “Risk Factors” in our 2025 Annual Report on Form 10-K. Any of these factors could materially adverse effect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the Pending Mergers with Element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Solstice shareowners as of immediately prior to the Mergers will have reduced ownership in the combined company and less influence over management.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issuing approximately 126,000,000 shares of common stock pursuant to the Merger Agreement. The actual number of shares of common stock to be issued pursuant to the Merger Agreement will be determined at the closing of the Mergers based on the number of shares of Element Solutions common stock outstanding immediately prior to the First Merger. The issuance of these new shares could have the effect of depressing the market price of our common stock, through dilution of earnings per share or otherwise. Any dilution of, or delay of any accretion to, our earnings per share could cause the price of our common stock to decline or increase at a reduced 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Immediately after the closing of the Mergers, it is expected that Solstice shareowners as of immediately prior to the Mergers will own approximately 56%, and Element Solutions shareowners as of immediately prior to the Mergers will own approximately 44%, of the issued and outstanding shares of Solstice common stock, in each case calculated based on the fully diluted market capitalizations of Solstice and Element Solutions as of the date of signing of the Merger Agreement. As a result, current Solstice shareowners will have less influence on the management and policies of the combined company than they currently have on the management and policies of Solstice.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Mergers may not be completed and the Merger Agreement may be terminated in accordance with its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Mergers are subject to a number of conditions that must be satisfied or waived prior to the closing of the Mergers, including, among other things, (i) the receipt of regulatory approvals, (ii) the absence of any legal restraint in effect that would prevent, make illegal, enjoin or prohibit the consummation of the Mergers, (iii) the accuracy of the representations and warranties made as of the date the Merger Agreement was entered into and as of the date the Mergers are completed, subject to customary materiality “bring down” standards, and (iv) the performance by all parties to the Merger Agreement in all material respects of all obligations required to be performed at or prior to closing. These conditions to the consummation of the Mergers may not be satisfied or waived in a timely manner or at all, and, accordingly, the Mergers may be delayed or may not be completed.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if the First Merger is not completed by July 6, 2027 (subject to automatic extension to the extent the only conditions not satisfied are those related to certain regulatory approvals or the absence of a legal restraint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prohibiting the closing), either Solstice or Element Solutions may choose not to proceed with the Mergers by terminating the Merger Agreement, and the parties can mutually decide to terminate the Merger Agreement at any time, before or after stockholder approval. In addition, Solstice and Element Solutions may elect to terminate the Merger Agreement in certain other circumstances, including, among other things, (i) failing to cure the breach of a representation, warranty or covenant without which a closing condition would not be satisfied, or (ii) a final and non-appealable legal restraint enjoining or otherwise prohibiting the consummation of the Mergers.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Merger Agreement limits the ability of Solstice to pursue alternatives to the Mergers, may discourage other companies from making a favorable alternative transaction proposal and, in specified circumstances, could require Solstice to pay Element Solutions a termination fee.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provisions that may discourage a potential third-party acquirer that might have an interest in acquiring all or a significant part of Solstice from considering or submitting to Solstice a competing proposal that might result in greater value to its shareowners than the Mergers, or may result in a potential acquirer of Solstice proposing to pay a lower price per share to acquire Solstice than it might otherwise have proposed to pay. These provisions include a general prohibition on Solstice from soliciting or, subject to certain exceptions relating to the exercise of fiduciary duties by Solstice’s board of directors entering into discussions with any third party regarding any competing proposal or offer for a competing transaction. The Merger Agreement further provides that under specified circumstances, which could arise either pursuant to a competing proposal or where Honeywell revokes its consent pursuant to the terms of a Tax Matters Agreement entered into between Solstice and Honeywell or otherwise seeks to prohibit the Mergers, Solstice may be required to pay Element Solutions a termination fee of either $385,000,000 or $513,000,000.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Failure to complete the Mergers, or a delay in the closing of the Mergers, could negatively impact our business, results of operations, financial condition and stock price.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is subject to a number of conditions that must be fulfilled to complete the Mergers. Those conditions include, among others, the approval by our shareowners of the share issuance proposal, the approval by Element Solutions stockholders of the merger proposal and certain regulatory approvals. A number of the conditions are not within our control, including Element Solutions’ stockholder approval, and may prevent, delay or otherwise materially adversely affect the closing of the Mergers. We cannot predict with certainty whether and when any of the required closing conditions will be satisfied or if another uncertainty may arise, and we cannot assure our shareowners that we will be able to timely complete the Mergers as currently contemplated under the Merger Agreement or at all. Our business, results of operations, financial condition or stock price could be adversely affected, potentially in a material way, by the failure to complete the Mergers, or by a delay in the closing of the Mergers, and we may suffer consequences that could adversely affect our business, results of operations, financial condition and stock price,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may not realize any or all of the potential benefits of the Mergers, including any synergies that could result from combining our financial and business resources with those of Element Solutions;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achieving synergies may be more than we have anticipated and we may not realize all of the potential benefits of such synergies;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matters relating to the Mergers will require substantial commitments of time and resources by our management, which would otherwise have been devoted to day-to-day operations and other opportunities that may have been beneficial to us as an independent company;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have incurred and will incur further substantial expenses in connection with the Mergers, including financial advisory, legal, accounting, consulting and other advisory fees, severance/retention employee benefit-related costs and other regulatory fees and other costs relating to the Mergers regardless of whether the Mergers are completed;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may be subject to legal proceedings related to the potential delay of, or failure to complete, the Mergers; we may experience disruptions to our business resulting from the pendency of the Mergers,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adverse changes in relationships with, or loss of, customers, business partners and employees, which may not be reversible and may continue or even intensify in the event the Mergers are delayed or not completed;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may experience negative reactions to the Mergers, including if the Mergers are not completed, from the financial markets, including negative impacts on the market price of our common stock;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under the Merger Agreement, we are subject to certain restrictions on the conduct of our business prior to completing the Mergers, which restrictions could adversely affect our ability to conduct our business as we otherwise would have done if not subject to these restrictions.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will incur substantial transaction and integration-related costs in connection with the Mergers.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significant financial advisory, legal, accounting, consulting and other advisory fees and other regulatory fees and other costs relating to the Mergers. We have incurred, and expect to continue to incur, additional costs in connection with the satisfaction of the various conditions to closing of the Mergers. If there is any delay in the consummation of the Mergers, these costs could increase significantly. We also will incur significant integration-related fees and costs related to formulating and implementing integration plans, including facilities and systems consolidation costs and employment-related costs. We continue to assess the magnitude of these costs, and additional unanticipated costs may be incurred in the Mergers and the integration of the two companies’ businesses.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Litigation relating to the Mergers, if any, could result in an injunction preventing the closing of the Mergers and/or substantial costs to Solstice and Element Solutions.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and fiduciary lawsuits are often brought against public companies that have entered into acquisition, merger or other business combination agreements like the Merger Agreement. Even if such lawsuits are without merit, defending against these claims can result in substantial costs and divert management time and resources. An adverse judgment could result in monetary damages, which could have a negative impact on our liquidity and financial condition.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failure to integrate the businesses and operations of Solstice and Element Solutions successfully in the expected time frame may adversely affect the future results of the combined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and Element Solutions have operated and, until the closing of the Mergers, will continue to operate independently. Following the closing of the Mergers, our respective businesses may not be integrated successfully. It is possible that the integration process could result in the loss of our key employees or key Element Solutions employees, the loss of customers, suppliers, vendors or other business counterparties, the disruption of either company’s or both companies’ ongoing businesses, inconsistencies in standards, controls, procedures and policies, potential unknown liabilities and unforeseen expenses, delays or regulatory conditions associated with and following the closing of the Mergers or higher-than-expected integration costs and an overall post-closing integration process that takes longer than originally anticipated. Specifically, the following challenges, among others, must be addressed in integrating the operations of Solstice and Element Solutions in order to realize the anticipated benefits of the Mergers: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combining the companies’ operations and corporate functions and the resulting difficulties associated with managing a larger, more complex, diversified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combining the businesses of Solstice and Element Solutions in a manner that permits the combined company to achieve the cost savings and operating synergies anticipated to result from the Mergers;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developing and managing new product lines;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avoiding delays in connection with the Mergers or the integration process;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integrating personnel from the two companies and minimizing the loss of key employees;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identifying and eliminating redundant functions and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harmonizing the companies’ operating practices, employee development and compensation programs, internal controls, compliance and other policies, procedures and processes;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maintaining existing agreements with customers, suppliers, vendors and other business counterparties and avoiding delays in entering into new agreements with prospective customers, suppliers, vendors and other business counterparties;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coordinating geographically separate organizations;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addressing possible differences in business backgrounds, corporate cultures and management philosophies.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these factors will be outside of our control, and any one of them could result in delays, increased costs, decreases in the amount of expected revenues and other adverse impacts, which could materially affect the combined company’s financial position, results of operations and cash flows. If the combined company is unable to achieve the anticipated benefits of the Mergers within the anticipated time frame, or at all, the anticipated benefits, including synergies, cost savings, innovation opportunities and operational efficiencies, may not be realized fully or at all, or may take longer to realize than expected, and the value of the combined company’s common stock may decline.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at times, the attention of certain members of management and other resources may be focused on the closing of the Mergers and the integration of the businesses and as such diverted from day-to-day business operations or other opportunities that may be beneficial to us, which may disrupt our ongoing operations and the operations of the combined company.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Mergers may result in a loss of customers, distributors, service providers, suppliers, vendors and other business counterparties and may result in the termination of existing contracts.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Mergers, some of our and Element Solutions’ customers, distributors, service providers, suppliers, vendors and other business counterparties may terminate or scale back their current or prospective business relationships with the combined company. In addition, we and Element Solutions have contracts with customers, distributors, service providers, suppliers, vendors and other business counterparties that may require us or Element Solutions to obtain consents from these other parties in connection with the Mergers, which may not be obtained on favorable terms or at all. If relationships with customers, distributors, service providers, suppliers, vendors or other business counterparties are adversely affected by the Mergers, or if the combined company loses the benefits of our and Element Solutions’ contracts of Solstice, the business, financial condition, cash flows or results of operations of the combined company could be materially and adversely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indebtedness of the combined company following consummation of the Mergers will be substantially greater than Solstice’s indebtedness on a standalone basis existing prior to the announcement of the Merger Agreement. The indebtedness of the combined company could adversely affect its business flexibility.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Solstice had approximately $2.0 billion of outstanding indebtedness. As of June 30, 2026, Element Solutions had approximately $2.1 billion of outstanding indebtedness, consisting primarily of amounts outstanding under the Element Solutions senior secured term loans B-3 of $1.3 billion maturing in 2030, $50 million outstanding under a revolving credit facility maturing in 2031 and $797 million of senior notes maturing in 2028. In connection with the Mergers, Solstice entered into the Bridge Commitment Letter pursuant to which, among other things, the commitment parties have committed to provide Solstice with the Bridge Facility. The Bridge Commitment Letter also contemplates that Solstice will seek to obtain Permanent Financing, which is expected to consist of indebtedness in an aggregate principal amount of approximately $4.7 billion, consisting of (i) a senior secured term loan facility in an aggregate principal amount of approximately $1.5 billion and (ii) senior unsecured notes in an aggregate principal amount of approximately $3.2 billion. However, there can be no assurance that Solstice will be able to obtain the Permanent Financing on terms acceptable to Solstice or at all, and prevailing market conditions, Solstice’s financial condition and credit ratings and other factors may adversely affect Solstice’s ability to obtain such financing. If Solstice obtains the Permanent Financing on or prior to the closing of the mergers, commitments under the Bridge Facility will be correspondingly reduced. However, if Solstice has not obtained the Permanent Financing on or prior to the closing of the mergers, Solstice expects to draw on the Bridge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Facility to finance, together with other sources of funds, the acquisition, the refinancing of certain existing indebtedness of Element Solutions and related fees and expenses in connection with the transactions. We estimate that the pro forma indebtedness of the combined company, assuming the closing of the Mergers had occurred on June 30, 2026, would have been approximately $7 billion after giving effect to the repayment of the outstanding principal balance of Element Solutions’ existing $2.1 billion of outstanding debt. Solstice is reviewing the treatment of Element Solutions’ existing indebtedness and expects to refinance, repurchase, redeem, exchange or otherwise terminate Element Solutions’ outstanding credit facility and notes in connection with or following the consummation of the Mergers.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combined company’s substantially increased indebtedness will reduce its flexibility to respond to changing business and economic conditions, and could have adverse effects on its financial condition, cash flows or results of operations, including by: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imposing additional cash management requirements on the combined company in order to support interest payments, which would reduce the amount available to fund its operations and other business activities;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increasing the combined company’s borrowing costs and the risk of default on debt obligations of the combined company;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increasing the vulnerability of the combined company to adverse changes in general economic and industry conditions, economic downturns and adverse developments in its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limiting the ability of the combined company to sell assets, engage in strategic transactions, declare and pay dividends or obtain additional financing for working capital, capital expenditures, acquisitions, general corporate and other purposes;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limiting the flexibility of the combined company in planning for or reacting to changes in its business and the industry in which it operates;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increasing the exposure of the combined company to a rise in interest rates, which would generate greater interest expense to the extent the combined company does not have applicable interest rate fluctuation hedges;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reducing funds available to engage in investments in product development, capital expenditures, dividend payments, share repurchases and other activities, thereby creating competitive disadvantages for Solstice relative to other companies with lower debt levels.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debt financing related to the Mergers, it is anticipated that Solstice would seek ratings of the indebtedness of the combined company from one or more nationally recognized credit rating agencies. Such credit ratings would reflect each rating organization’s opinion of the combined company’s financial strength, operating performance and ability to meet its debt obligations. Such credit ratings will affect the cost and availability of future borrowings and, accordingly, its cost of capital. There can be no assurance that the combined company will achieve a particular rating or maintain a particular rating in the future.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combined company’s ability to arrange additional financing or refinancing of this existing debt will depend on, among other factors, its financial condition and performance, as well as prevailing market conditions and other factors beyond its control. There can be no assurance that the combined company will be able to obtain additional financing or refinance existing debt on favorable terms or at all.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During the quarter ended </w:t>
      </w:r>
      <w:r>
        <w:rPr>
          <w:rFonts w:ascii="Times New Roman;serif" w:hAnsi="Times New Roman;serif"/>
          <w:b w:val="false"/>
          <w:color w:val="000000"/>
          <w:sz w:val="20"/>
        </w:rPr>
        <w:t>June 30, 2026, no directors or officers (as defined in Rule 16a-1(f) of the Exchange Act) adopted, modified, or terminated any “Rule 10b5-1 trading arrangement” or any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60"/>
        <w:gridCol w:w="315"/>
        <w:gridCol w:w="317"/>
        <w:gridCol w:w="109"/>
        <w:gridCol w:w="109"/>
        <w:gridCol w:w="109"/>
        <w:gridCol w:w="2658"/>
        <w:gridCol w:w="2570"/>
        <w:gridCol w:w="3658"/>
      </w:tblGrid>
      <w:tr>
        <w:trPr/>
        <w:tc>
          <w:tcPr>
            <w:tcW w:w="3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16"/>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Agreement and Plan of Merger, dated as of July 6, 2026, by and among Solstice Advanced Materials Inc., Element Solutions Inc, Solar Merger Sub One Inc. and Solar Merger Sub Two LLC (incorporated by reference to Exhibit 2.1 to the Company’s Current Report on Form 8-K/A filed with the SEC on July 9, 2026)</w:t>
            </w:r>
          </w:p>
        </w:tc>
      </w:tr>
      <w:tr>
        <w:trPr/>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80"/>
                  <w:sz w:val="16"/>
                </w:rPr>
                <w:t>10.1</w:t>
              </w:r>
            </w:hyperlink>
            <w:hyperlink r:id="rId9">
              <w:r>
                <w:rPr>
                  <w:rStyle w:val="InternetLink"/>
                  <w:rFonts w:ascii="Times New Roman;serif" w:hAnsi="Times New Roman;serif"/>
                  <w:b w:val="false"/>
                  <w:color w:val="000080"/>
                  <w:sz w:val="16"/>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First Amendment to Credit Agreement, dated as of July 24, 2026, among Solstice Advanced Materials Inc., the consenting lenders, and JPMorgan Chase Bank, N.A., as administrative agent (incorporated by reference to Exhibit 10.1 to the Company’s Current Report on Form 8-K filed with the SEC on July 27, 2026)</w:t>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11-ceosox3022q26.htm">
              <w:r>
                <w:rPr>
                  <w:rStyle w:val="InternetLink"/>
                  <w:rFonts w:ascii="Times New Roman;serif" w:hAnsi="Times New Roman;serif"/>
                  <w:b w:val="false"/>
                  <w:color w:val="0000FF"/>
                  <w:sz w:val="16"/>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Certification of Principal Executive Officer Pursuant to Section 302 of the Sarbanes-Oxley Act of 2002 (filed herewith)</w:t>
            </w:r>
          </w:p>
        </w:tc>
      </w:tr>
      <w:tr>
        <w:trPr/>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312-cfosox3022q26.htm">
              <w:r>
                <w:rPr>
                  <w:rStyle w:val="InternetLink"/>
                  <w:rFonts w:ascii="Times New Roman;serif" w:hAnsi="Times New Roman;serif"/>
                  <w:b w:val="false"/>
                  <w:color w:val="0000FF"/>
                  <w:sz w:val="16"/>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Certification of Principal Financial Officer Pursuant to Section 302 of the Sarbanes-Oxley Act of 2002 (filed herewith)</w:t>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21-ceosox9062q26.htm">
              <w:r>
                <w:rPr>
                  <w:rStyle w:val="InternetLink"/>
                  <w:rFonts w:ascii="Times New Roman;serif" w:hAnsi="Times New Roman;serif"/>
                  <w:b w:val="false"/>
                  <w:color w:val="0000FF"/>
                  <w:sz w:val="16"/>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Certification of Principal Executive Officer Pursuant to 18 U.S.C. Section 1350, as Adopted Pursuant to Section 906 of the Sarbanes-Oxley Act of 2002 (furnished herewith)</w:t>
            </w:r>
          </w:p>
        </w:tc>
      </w:tr>
      <w:tr>
        <w:trPr/>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322-cfosox9062q26.htm">
              <w:r>
                <w:rPr>
                  <w:rStyle w:val="InternetLink"/>
                  <w:rFonts w:ascii="Times New Roman;serif" w:hAnsi="Times New Roman;serif"/>
                  <w:b w:val="false"/>
                  <w:color w:val="0000FF"/>
                  <w:sz w:val="16"/>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Certification of Principal Financial Officer Pursuant to 18 U.S.C. Section 1350, as Adopted Pursuant to Section 906 of the Sarbanes-Oxley Act of 2002 (furnished herewith)</w:t>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The following financial statements from the Company’s Quarterly Report on Form 10-Q for the quarter ended June 30, 2026, formatted in inline XBRL: (i) Consolidated Statements of Operations, (ii) Consolidated Statements of Comprehensive Income, (iii) Consolidated Balance Sheets, (iv) Consolidated Statements of Cash Flows, (v) Consolidated Statements of Equity, and (vi) Notes to Consolidated Financial Statements.</w:t>
            </w:r>
          </w:p>
        </w:tc>
      </w:tr>
      <w:tr>
        <w:trPr/>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Management contract or any compensatory plan, contract, or arrangement.</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Schedules (or similar attachments) have been omitted pursuant to Item 601(a)(5) of Regulation S-K. The Company hereby undertakes to furnish supplemental copies of any of the omitted schedules (or similar attachments) upon request by the SEC; provided that the Company may request confidential treatment pursuant to Rule 24b-2 of the Exchange Act, for any schedules (or similar attachments) so furnished.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80"/>
        <w:jc w:val="left"/>
        <w:rPr/>
      </w:pPr>
      <w:r>
        <w:rPr/>
      </w:r>
    </w:p>
    <w:tbl>
      <w:tblPr>
        <w:tblW w:w="6195" w:type="dxa"/>
        <w:jc w:val="left"/>
        <w:tblInd w:w="0" w:type="dxa"/>
        <w:tblLayout w:type="fixed"/>
        <w:tblCellMar>
          <w:top w:w="28" w:type="dxa"/>
          <w:left w:w="28" w:type="dxa"/>
          <w:bottom w:w="28" w:type="dxa"/>
          <w:right w:w="28" w:type="dxa"/>
        </w:tblCellMar>
      </w:tblPr>
      <w:tblGrid>
        <w:gridCol w:w="625"/>
        <w:gridCol w:w="550"/>
        <w:gridCol w:w="554"/>
        <w:gridCol w:w="109"/>
        <w:gridCol w:w="109"/>
        <w:gridCol w:w="109"/>
        <w:gridCol w:w="134"/>
        <w:gridCol w:w="134"/>
        <w:gridCol w:w="136"/>
        <w:gridCol w:w="1093"/>
        <w:gridCol w:w="1093"/>
        <w:gridCol w:w="1549"/>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SOLSTICE ADVANCED MATERIALS INC.</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
              <w:jc w:val="left"/>
              <w:rPr/>
            </w:pPr>
            <w:r>
              <w:rPr>
                <w:rFonts w:ascii="Times New Roman;serif" w:hAnsi="Times New Roman;serif"/>
                <w:b w:val="false"/>
                <w:color w:val="000000"/>
                <w:sz w:val="20"/>
                <w:shd w:fill="FFFFFF" w:val="clear"/>
              </w:rPr>
              <w:t xml:space="preserve">Date: </w:t>
            </w: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 Barresi</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John S. Barresi </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 behalf of the Registrant</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as the Registrant’s</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302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David Sewell, certify that: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Solstice Advanced Materials Inc.;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120"/>
        <w:jc w:val="left"/>
        <w:rPr>
          <w:color w:val="000000"/>
        </w:rPr>
      </w:pPr>
      <w:r>
        <w:rPr>
          <w:color w:val="000000"/>
        </w:rPr>
        <w:t>            </w:t>
      </w:r>
    </w:p>
    <w:tbl>
      <w:tblPr>
        <w:tblW w:w="5830"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939"/>
        <w:gridCol w:w="939"/>
        <w:gridCol w:w="133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July 30,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 David Sewell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David Sewell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302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12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Tina Pierce, certify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Solstice Advanced Materials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            </w:t>
      </w:r>
    </w:p>
    <w:p>
      <w:pPr>
        <w:pStyle w:val="TextBody"/>
        <w:bidi w:val="0"/>
        <w:spacing w:before="0" w:after="120"/>
        <w:jc w:val="left"/>
        <w:rPr/>
      </w:pPr>
      <w:r>
        <w:rPr/>
      </w:r>
    </w:p>
    <w:tbl>
      <w:tblPr>
        <w:tblW w:w="6760"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1212"/>
        <w:gridCol w:w="1212"/>
        <w:gridCol w:w="1716"/>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July 30,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Tina Pierce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Tina Pierce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2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Solstice Advanced Materials Inc. (the “Company”) for the quarter ended June 30, 2026, as filed with the Securities and Exchange Commission on the date hereof (the “Report”), I, David Sewell, President and Chief Executive Officer of the Company, certify, pursuant to 18 U.S.C. Section 1350, as adopted pursuant to Section 906 of the Sarbanes-Oxley Act of 2002,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120"/>
        <w:jc w:val="both"/>
        <w:rPr/>
      </w:pPr>
      <w:r>
        <w:rPr/>
      </w:r>
    </w:p>
    <w:tbl>
      <w:tblPr>
        <w:tblW w:w="5830"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939"/>
        <w:gridCol w:w="939"/>
        <w:gridCol w:w="133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July 30,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David Sewell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David Sewell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2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Solstice Advanced Materials Inc. (the “Company”) for the quarter ended June 30, 2026, as filed with the Securities and Exchange Commission on the date hereof (the “Report”), I, Tina Pierce, Senior Vice President and Chief Financial Officer of the Company, certify, pursuant to 18 U.S.C. Section 1350, as adopted pursuant to Section 906 of the Sarbanes-Oxley Act of 2002,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w:t>
      </w:r>
    </w:p>
    <w:p>
      <w:pPr>
        <w:pStyle w:val="TextBody"/>
        <w:bidi w:val="0"/>
        <w:spacing w:before="0" w:after="120"/>
        <w:jc w:val="both"/>
        <w:rPr/>
      </w:pPr>
      <w:r>
        <w:rPr/>
      </w:r>
    </w:p>
    <w:tbl>
      <w:tblPr>
        <w:tblW w:w="6760"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1212"/>
        <w:gridCol w:w="1212"/>
        <w:gridCol w:w="1716"/>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July 30,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Tina Pierce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Tina Pierce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2064953/000121390026076547/ea029740401ex2-1.htm" TargetMode="External"/><Relationship Id="rId8" Type="http://schemas.openxmlformats.org/officeDocument/2006/relationships/hyperlink" Target="https://www.sec.gov/Archives/edgar/data/2064953/000110465926086878/tm2620579d3_ex10-1.htm" TargetMode="External"/><Relationship Id="rId9" Type="http://schemas.openxmlformats.org/officeDocument/2006/relationships/hyperlink" Target="https://www.sec.gov/Archives/edgar/data/2064953/000110465926086878/tm2620579d3_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23545</Words>
  <Characters>130474</Characters>
  <CharactersWithSpaces>152775</CharactersWithSpaces>
  <Paragraphs>2853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